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600"/>
        <w:rPr>
          <w:rFonts w:ascii="Times New Roman" w:eastAsia="宋体" w:hAnsi="Times New Roman"/>
          <w:bCs/>
          <w:sz w:val="32"/>
          <w:szCs w:val="32"/>
        </w:rPr>
      </w:pPr>
      <w:r>
        <w:rPr>
          <w:rFonts w:ascii="Times New Roman" w:eastAsia="宋体" w:hAnsi="Times New Roman" w:hint="eastAsia"/>
          <w:bCs/>
          <w:sz w:val="32"/>
          <w:szCs w:val="32"/>
        </w:rPr>
        <w:t>附件2：</w:t>
      </w:r>
    </w:p>
    <w:p>
      <w:pPr>
        <w:pStyle w:val="style0"/>
        <w:spacing w:lineRule="exact" w:line="600"/>
        <w:jc w:val="center"/>
        <w:rPr>
          <w:rFonts w:ascii="Times New Roman" w:eastAsia="宋体" w:hAnsi="Times New Roman"/>
          <w:b/>
          <w:bCs/>
          <w:sz w:val="36"/>
          <w:szCs w:val="36"/>
        </w:rPr>
      </w:pPr>
      <w:r>
        <w:rPr>
          <w:rFonts w:ascii="Times New Roman" w:eastAsia="宋体" w:hAnsi="Times New Roman" w:hint="eastAsia"/>
          <w:b/>
          <w:bCs/>
          <w:sz w:val="36"/>
          <w:szCs w:val="36"/>
        </w:rPr>
        <w:t>江西工业贸易职业技术学院</w:t>
      </w:r>
    </w:p>
    <w:p>
      <w:pPr>
        <w:pStyle w:val="style0"/>
        <w:spacing w:lineRule="exact" w:line="600"/>
        <w:jc w:val="center"/>
        <w:rPr>
          <w:rFonts w:ascii="Times New Roman" w:eastAsia="宋体" w:hAnsi="Times New Roman"/>
          <w:b/>
          <w:bCs/>
          <w:sz w:val="36"/>
          <w:szCs w:val="36"/>
        </w:rPr>
      </w:pPr>
      <w:r>
        <w:rPr>
          <w:rFonts w:ascii="Times New Roman" w:eastAsia="宋体" w:hAnsi="Times New Roman" w:hint="eastAsia"/>
          <w:b/>
          <w:bCs/>
          <w:sz w:val="36"/>
          <w:szCs w:val="36"/>
        </w:rPr>
        <w:t>软件技术专业高职人才培养方案</w:t>
      </w:r>
    </w:p>
    <w:p>
      <w:pPr>
        <w:pStyle w:val="style0"/>
        <w:spacing w:lineRule="exact" w:line="360"/>
        <w:ind w:firstLine="480" w:firstLineChars="200"/>
        <w:jc w:val="center"/>
        <w:rPr>
          <w:rFonts w:ascii="Times New Roman" w:eastAsia="宋体" w:hAnsi="Times New Roman"/>
          <w:bCs/>
          <w:sz w:val="24"/>
        </w:rPr>
      </w:pPr>
    </w:p>
    <w:bookmarkStart w:id="0" w:name="_Toc327706725"/>
    <w:p>
      <w:pPr>
        <w:pStyle w:val="style0"/>
        <w:snapToGrid w:val="false"/>
        <w:spacing w:lineRule="exact" w:line="380"/>
        <w:ind w:firstLine="482" w:firstLineChars="200"/>
        <w:outlineLvl w:val="0"/>
        <w:rPr>
          <w:rFonts w:ascii="Times New Roman" w:eastAsia="宋体" w:hAnsi="Times New Roman"/>
          <w:sz w:val="24"/>
        </w:rPr>
      </w:pPr>
      <w:r>
        <w:rPr>
          <w:rFonts w:ascii="Times New Roman" w:eastAsia="宋体" w:hAnsi="Times New Roman" w:hint="eastAsia"/>
          <w:b/>
          <w:sz w:val="24"/>
        </w:rPr>
        <w:t>一、招生对象与学制</w:t>
      </w:r>
      <w:bookmarkEnd w:id="0"/>
    </w:p>
    <w:bookmarkStart w:id="1" w:name="_Toc327706726"/>
    <w:bookmarkStart w:id="2" w:name="_Toc327706727"/>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（一）招生对象</w:t>
      </w:r>
      <w:bookmarkEnd w:id="1"/>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hint="eastAsia"/>
          <w:szCs w:val="21"/>
        </w:rPr>
        <w:t>普通高中毕业生及同等学历者。</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（二）学制</w:t>
      </w:r>
      <w:bookmarkEnd w:id="2"/>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hint="eastAsia"/>
          <w:szCs w:val="21"/>
        </w:rPr>
        <w:t>全日制3年。</w:t>
      </w:r>
    </w:p>
    <w:bookmarkStart w:id="3" w:name="_Toc327706728"/>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二、专业人才培养目标</w:t>
      </w:r>
      <w:bookmarkEnd w:id="3"/>
    </w:p>
    <w:bookmarkStart w:id="4" w:name="_Toc327706729"/>
    <w:p>
      <w:pPr>
        <w:pStyle w:val="style0"/>
        <w:snapToGrid w:val="false"/>
        <w:spacing w:lineRule="exact" w:line="380"/>
        <w:ind w:firstLine="420" w:firstLineChars="200"/>
        <w:rPr>
          <w:rFonts w:ascii="宋体" w:cs="Times New Roman" w:eastAsia="宋体" w:hAnsi="宋体"/>
          <w:szCs w:val="21"/>
        </w:rPr>
      </w:pPr>
      <w:r>
        <w:rPr>
          <w:rFonts w:ascii="宋体" w:cs="Times New Roman" w:eastAsia="宋体" w:hAnsi="宋体" w:hint="eastAsia"/>
          <w:szCs w:val="21"/>
        </w:rPr>
        <w:t>服务面向</w:t>
      </w:r>
      <w:r>
        <w:rPr>
          <w:rFonts w:ascii="宋体" w:cs="Times New Roman" w:eastAsia="宋体" w:hAnsi="宋体"/>
          <w:szCs w:val="21"/>
        </w:rPr>
        <w:t>专业群内专业：本专业为</w:t>
      </w:r>
      <w:r>
        <w:rPr>
          <w:rFonts w:ascii="宋体" w:cs="Times New Roman" w:eastAsia="宋体" w:hAnsi="宋体" w:hint="eastAsia"/>
          <w:szCs w:val="21"/>
        </w:rPr>
        <w:t>信息安全技术应用</w:t>
      </w:r>
      <w:r>
        <w:rPr>
          <w:rFonts w:ascii="宋体" w:cs="Times New Roman" w:eastAsia="宋体" w:hAnsi="宋体"/>
          <w:szCs w:val="21"/>
        </w:rPr>
        <w:t>专业群</w:t>
      </w:r>
      <w:r>
        <w:rPr>
          <w:rFonts w:ascii="宋体" w:cs="Times New Roman" w:eastAsia="宋体" w:hAnsi="宋体" w:hint="eastAsia"/>
          <w:szCs w:val="21"/>
        </w:rPr>
        <w:t>的核心</w:t>
      </w:r>
      <w:r>
        <w:rPr>
          <w:rFonts w:ascii="宋体" w:cs="Times New Roman" w:eastAsia="宋体" w:hAnsi="宋体"/>
          <w:szCs w:val="21"/>
        </w:rPr>
        <w:t>专业，结合专业群服务</w:t>
      </w:r>
      <w:r>
        <w:rPr>
          <w:rFonts w:ascii="宋体" w:cs="Times New Roman" w:eastAsia="宋体" w:hAnsi="宋体" w:hint="eastAsia"/>
          <w:szCs w:val="21"/>
        </w:rPr>
        <w:t>江西区域经济、辐射泛珠三角</w:t>
      </w:r>
      <w:r>
        <w:rPr>
          <w:rFonts w:ascii="宋体" w:cs="Times New Roman" w:eastAsia="宋体" w:hAnsi="宋体"/>
          <w:szCs w:val="21"/>
        </w:rPr>
        <w:t>经济社会发展对人才的需求，依托专业群服务的</w:t>
      </w:r>
      <w:r>
        <w:rPr>
          <w:rFonts w:ascii="宋体" w:cs="Times New Roman" w:eastAsia="宋体" w:hAnsi="宋体" w:hint="eastAsia"/>
          <w:szCs w:val="21"/>
        </w:rPr>
        <w:t>信息安全</w:t>
      </w:r>
      <w:r>
        <w:rPr>
          <w:rFonts w:ascii="宋体" w:cs="Times New Roman" w:eastAsia="宋体" w:hAnsi="宋体"/>
          <w:szCs w:val="21"/>
        </w:rPr>
        <w:t>行业，与</w:t>
      </w:r>
      <w:r>
        <w:rPr>
          <w:rFonts w:ascii="宋体" w:cs="Times New Roman" w:eastAsia="宋体" w:hAnsi="宋体" w:hint="eastAsia"/>
          <w:szCs w:val="21"/>
        </w:rPr>
        <w:t>粮食安全、信息安全上游产业链</w:t>
      </w:r>
      <w:r>
        <w:rPr>
          <w:rFonts w:ascii="宋体" w:cs="Times New Roman" w:eastAsia="宋体" w:hAnsi="宋体"/>
          <w:szCs w:val="21"/>
        </w:rPr>
        <w:t>类企业合作，培养</w:t>
      </w:r>
      <w:r>
        <w:rPr>
          <w:rFonts w:ascii="宋体" w:cs="Times New Roman" w:eastAsia="宋体" w:hAnsi="宋体" w:hint="eastAsia"/>
          <w:szCs w:val="21"/>
        </w:rPr>
        <w:t>在面向粮食安全体系内</w:t>
      </w:r>
      <w:r>
        <w:rPr>
          <w:rFonts w:ascii="宋体" w:cs="Times New Roman" w:eastAsia="宋体" w:hAnsi="宋体"/>
          <w:szCs w:val="21"/>
        </w:rPr>
        <w:t>从事</w:t>
      </w:r>
      <w:r>
        <w:rPr>
          <w:rFonts w:ascii="宋体" w:eastAsia="宋体" w:hAnsi="宋体" w:hint="eastAsia"/>
          <w:szCs w:val="21"/>
        </w:rPr>
        <w:t>软件网站前端和软件后端设计、开发、测试和运维、</w:t>
      </w:r>
      <w:r>
        <w:rPr>
          <w:rFonts w:ascii="宋体" w:cs="Times New Roman" w:eastAsia="宋体" w:hAnsi="宋体" w:hint="eastAsia"/>
          <w:szCs w:val="21"/>
        </w:rPr>
        <w:t>软件平台的集成与应用、售后服务、</w:t>
      </w:r>
      <w:r>
        <w:rPr>
          <w:rFonts w:ascii="宋体" w:eastAsia="宋体" w:hAnsi="宋体" w:hint="eastAsia"/>
          <w:szCs w:val="21"/>
        </w:rPr>
        <w:t>软件项目实施、软件产品营销</w:t>
      </w:r>
      <w:r>
        <w:rPr>
          <w:rFonts w:ascii="宋体" w:cs="Times New Roman" w:eastAsia="宋体" w:hAnsi="宋体" w:hint="eastAsia"/>
          <w:szCs w:val="21"/>
        </w:rPr>
        <w:t>等</w:t>
      </w:r>
      <w:r>
        <w:rPr>
          <w:rFonts w:ascii="宋体" w:cs="Times New Roman" w:eastAsia="宋体" w:hAnsi="宋体"/>
          <w:szCs w:val="21"/>
        </w:rPr>
        <w:t>工作，德智体美</w:t>
      </w:r>
      <w:r>
        <w:rPr>
          <w:rFonts w:ascii="宋体" w:cs="Times New Roman" w:eastAsia="宋体" w:hAnsi="宋体" w:hint="eastAsia"/>
          <w:szCs w:val="21"/>
        </w:rPr>
        <w:t>劳</w:t>
      </w:r>
      <w:r>
        <w:rPr>
          <w:rFonts w:ascii="宋体" w:cs="Times New Roman" w:eastAsia="宋体" w:hAnsi="宋体"/>
          <w:szCs w:val="21"/>
        </w:rPr>
        <w:t>全面发展，践行社会主义核心价值观</w:t>
      </w:r>
      <w:r>
        <w:rPr>
          <w:rFonts w:ascii="宋体" w:cs="Times New Roman" w:eastAsia="宋体" w:hAnsi="宋体" w:hint="eastAsia"/>
          <w:szCs w:val="21"/>
        </w:rPr>
        <w:t>，</w:t>
      </w:r>
      <w:r>
        <w:rPr>
          <w:rFonts w:ascii="宋体" w:cs="Times New Roman" w:eastAsia="宋体" w:hAnsi="宋体"/>
          <w:szCs w:val="21"/>
        </w:rPr>
        <w:t>具有一定的文化水平、良好的职业道德和人文素养</w:t>
      </w:r>
      <w:r>
        <w:rPr>
          <w:rFonts w:ascii="宋体" w:cs="Times New Roman" w:eastAsia="宋体" w:hAnsi="宋体" w:hint="eastAsia"/>
          <w:szCs w:val="21"/>
        </w:rPr>
        <w:t>，</w:t>
      </w:r>
      <w:r>
        <w:rPr>
          <w:rFonts w:ascii="宋体" w:cs="Times New Roman" w:eastAsia="宋体" w:hAnsi="宋体"/>
          <w:szCs w:val="21"/>
        </w:rPr>
        <w:t>具备工匠精神，具有创新思维、创新精神、创新创业意识和创新创业能力的高素质技术技能型人才。 </w:t>
      </w:r>
    </w:p>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三、职业面向</w:t>
      </w:r>
      <w:bookmarkEnd w:id="4"/>
    </w:p>
    <w:p>
      <w:pPr>
        <w:pStyle w:val="style0"/>
        <w:snapToGrid w:val="false"/>
        <w:spacing w:lineRule="exact" w:line="380"/>
        <w:ind w:firstLine="420" w:firstLineChars="200"/>
        <w:outlineLvl w:val="1"/>
        <w:rPr>
          <w:rFonts w:ascii="宋体" w:eastAsia="宋体" w:hAnsi="宋体"/>
          <w:szCs w:val="21"/>
        </w:rPr>
      </w:pPr>
      <w:r>
        <w:rPr>
          <w:rFonts w:ascii="宋体" w:eastAsia="宋体" w:hAnsi="宋体" w:hint="eastAsia"/>
          <w:szCs w:val="21"/>
        </w:rPr>
        <w:t>（一）首次就业岗位及主要工作项目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1.软件开发初级程序员主要工作项目：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1）JSP 开发环境安装与使用，Ajax开发工具的安装与使用，开发平台构建，安装与配置JDK、Web服务器 Tomcat、通过server.xml配置Tomcat、 安装数据库服务器、安装MyEclipse 集成开发环境；</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了解</w:t>
      </w:r>
      <w:r>
        <w:rPr>
          <w:rFonts w:ascii="宋体" w:eastAsia="宋体" w:hAnsi="宋体"/>
          <w:szCs w:val="21"/>
        </w:rPr>
        <w:t>W</w:t>
      </w:r>
      <w:r>
        <w:rPr>
          <w:rFonts w:ascii="宋体" w:eastAsia="宋体" w:hAnsi="宋体" w:hint="eastAsia"/>
          <w:szCs w:val="21"/>
        </w:rPr>
        <w:t>eb安全，</w:t>
      </w:r>
      <w:r>
        <w:rPr>
          <w:rFonts w:ascii="宋体" w:eastAsia="宋体" w:hAnsi="宋体"/>
          <w:szCs w:val="21"/>
        </w:rPr>
        <w:t>熟练掌握Web技术</w:t>
      </w:r>
      <w:r>
        <w:rPr>
          <w:rFonts w:ascii="宋体" w:eastAsia="宋体" w:hAnsi="宋体" w:hint="eastAsia"/>
          <w:szCs w:val="21"/>
        </w:rPr>
        <w:t>，</w:t>
      </w:r>
      <w:r>
        <w:rPr>
          <w:rFonts w:ascii="宋体" w:eastAsia="宋体" w:hAnsi="宋体"/>
          <w:szCs w:val="21"/>
        </w:rPr>
        <w:t>静态网页布局和设计能力；</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3）负责项目设计流程中的图形制作、素材加工，并进行组合和测试</w:t>
      </w:r>
      <w:r>
        <w:rPr>
          <w:rFonts w:ascii="宋体" w:eastAsia="宋体" w:hAnsi="宋体" w:hint="eastAsia"/>
          <w:szCs w:val="21"/>
        </w:rPr>
        <w:t>；</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（4</w:t>
      </w:r>
      <w:r>
        <w:rPr>
          <w:rFonts w:ascii="宋体" w:eastAsia="宋体" w:hAnsi="宋体"/>
          <w:szCs w:val="21"/>
        </w:rPr>
        <w:t>）根据</w:t>
      </w:r>
      <w:r>
        <w:rPr>
          <w:rFonts w:ascii="宋体" w:eastAsia="宋体" w:hAnsi="宋体" w:hint="eastAsia"/>
          <w:szCs w:val="21"/>
        </w:rPr>
        <w:t>应用</w:t>
      </w:r>
      <w:r>
        <w:rPr>
          <w:rFonts w:ascii="宋体" w:eastAsia="宋体" w:hAnsi="宋体"/>
          <w:szCs w:val="21"/>
        </w:rPr>
        <w:t>软件</w:t>
      </w:r>
      <w:r>
        <w:rPr>
          <w:rFonts w:ascii="宋体" w:eastAsia="宋体" w:hAnsi="宋体" w:hint="eastAsia"/>
          <w:szCs w:val="21"/>
        </w:rPr>
        <w:t>系统开发</w:t>
      </w:r>
      <w:r>
        <w:rPr>
          <w:rFonts w:ascii="宋体" w:eastAsia="宋体" w:hAnsi="宋体"/>
          <w:szCs w:val="21"/>
        </w:rPr>
        <w:t>，进行需求分析、系统设计，设计详细文档；</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（5</w:t>
      </w:r>
      <w:r>
        <w:rPr>
          <w:rFonts w:ascii="宋体" w:eastAsia="宋体" w:hAnsi="宋体"/>
          <w:szCs w:val="21"/>
        </w:rPr>
        <w:t>）应用开发工具进行程序编码，实现相应功能，并参与项目实施应用；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（6</w:t>
      </w:r>
      <w:r>
        <w:rPr>
          <w:rFonts w:ascii="宋体" w:eastAsia="宋体" w:hAnsi="宋体"/>
          <w:szCs w:val="21"/>
        </w:rPr>
        <w:t>）依据</w:t>
      </w:r>
      <w:r>
        <w:rPr>
          <w:rFonts w:ascii="宋体" w:eastAsia="宋体" w:hAnsi="宋体" w:hint="eastAsia"/>
          <w:szCs w:val="21"/>
        </w:rPr>
        <w:t>应用</w:t>
      </w:r>
      <w:r>
        <w:rPr>
          <w:rFonts w:ascii="宋体" w:eastAsia="宋体" w:hAnsi="宋体"/>
          <w:szCs w:val="21"/>
        </w:rPr>
        <w:t>软件</w:t>
      </w:r>
      <w:r>
        <w:rPr>
          <w:rFonts w:ascii="宋体" w:eastAsia="宋体" w:hAnsi="宋体" w:hint="eastAsia"/>
          <w:szCs w:val="21"/>
        </w:rPr>
        <w:t>系统开发</w:t>
      </w:r>
      <w:r>
        <w:rPr>
          <w:rFonts w:ascii="宋体" w:eastAsia="宋体" w:hAnsi="宋体"/>
          <w:szCs w:val="21"/>
        </w:rPr>
        <w:t>流程，根据用户及项目经理要求完成软件设计、编码、测试等工作；</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（7</w:t>
      </w:r>
      <w:r>
        <w:rPr>
          <w:rFonts w:ascii="宋体" w:eastAsia="宋体" w:hAnsi="宋体"/>
          <w:szCs w:val="21"/>
        </w:rPr>
        <w:t>）应用工具设计用户图形界面，使用数据库、管理与连接数据库，程序测试，系统的整合、打包与发布；</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（8</w:t>
      </w:r>
      <w:r>
        <w:rPr>
          <w:rFonts w:ascii="宋体" w:eastAsia="宋体" w:hAnsi="宋体"/>
          <w:szCs w:val="21"/>
        </w:rPr>
        <w:t>）通过项目组通力合作，深入交流，完成项目开发工作。</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2.软件技术支持与服务人员主要工作项目：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1）使用WINDOWS操作系统；</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2）使用Office等办公软件；</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3）使用和配置数据库、服务器；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4）使用简单网络知识解决问题；</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5）使用各项主流开发工具编写简单代码；</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6）通过学习相关软硬件知识能够维护计算机软硬件；</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7）软件安装与维护能力。</w:t>
      </w:r>
    </w:p>
    <w:p>
      <w:pPr>
        <w:pStyle w:val="style0"/>
        <w:snapToGrid w:val="false"/>
        <w:spacing w:lineRule="exact" w:line="380"/>
        <w:ind w:firstLine="420" w:firstLineChars="200"/>
        <w:outlineLvl w:val="1"/>
        <w:rPr>
          <w:rFonts w:ascii="宋体" w:eastAsia="宋体" w:hAnsi="宋体"/>
          <w:szCs w:val="21"/>
        </w:rPr>
      </w:pPr>
      <w:r>
        <w:rPr>
          <w:rFonts w:ascii="宋体" w:eastAsia="宋体" w:hAnsi="宋体" w:hint="eastAsia"/>
          <w:szCs w:val="21"/>
        </w:rPr>
        <w:t>（二）目标岗位及主要工作项目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在首次就业岗位基础上，本专业职业发展和晋升途径如下：</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 xml:space="preserve"> 1.软件开发程序员主要工作项目：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1）熟练掌握Web和Java技术</w:t>
      </w:r>
      <w:r>
        <w:rPr>
          <w:rFonts w:ascii="宋体" w:eastAsia="宋体" w:hAnsi="宋体" w:hint="eastAsia"/>
          <w:szCs w:val="21"/>
        </w:rPr>
        <w:t>，了解</w:t>
      </w:r>
      <w:r>
        <w:rPr>
          <w:rFonts w:ascii="宋体" w:eastAsia="宋体" w:hAnsi="宋体"/>
          <w:szCs w:val="21"/>
        </w:rPr>
        <w:t>Web</w:t>
      </w:r>
      <w:r>
        <w:rPr>
          <w:rFonts w:ascii="宋体" w:eastAsia="宋体" w:hAnsi="宋体" w:hint="eastAsia"/>
          <w:szCs w:val="21"/>
        </w:rPr>
        <w:t>安全</w:t>
      </w:r>
      <w:r>
        <w:rPr>
          <w:rFonts w:ascii="宋体" w:eastAsia="宋体" w:hAnsi="宋体"/>
          <w:szCs w:val="21"/>
        </w:rPr>
        <w:t>；</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2）完成</w:t>
      </w:r>
      <w:r>
        <w:rPr>
          <w:rFonts w:ascii="宋体" w:eastAsia="宋体" w:hAnsi="宋体" w:hint="eastAsia"/>
          <w:szCs w:val="21"/>
        </w:rPr>
        <w:t>应用</w:t>
      </w:r>
      <w:r>
        <w:rPr>
          <w:rFonts w:ascii="宋体" w:eastAsia="宋体" w:hAnsi="宋体"/>
          <w:szCs w:val="21"/>
        </w:rPr>
        <w:t>软件的设计、开发、测试、修改等工作，包括业务需求的沟通，功能模块详细设计，业务功能实现与单元测试，系统维护；</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（3</w:t>
      </w:r>
      <w:r>
        <w:rPr>
          <w:rFonts w:ascii="宋体" w:eastAsia="宋体" w:hAnsi="宋体"/>
          <w:szCs w:val="21"/>
        </w:rPr>
        <w:t>）使用HTML语言、JavaScript脚本语言进行编程；</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（4</w:t>
      </w:r>
      <w:r>
        <w:rPr>
          <w:rFonts w:ascii="宋体" w:eastAsia="宋体" w:hAnsi="宋体"/>
          <w:szCs w:val="21"/>
        </w:rPr>
        <w:t>）使用PhotoShop、Dream weaver、WebStorm等各种网页设计制作软件编辑网页素材和设计网页布局；</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（5</w:t>
      </w:r>
      <w:r>
        <w:rPr>
          <w:rFonts w:ascii="宋体" w:eastAsia="宋体" w:hAnsi="宋体"/>
          <w:szCs w:val="21"/>
        </w:rPr>
        <w:t xml:space="preserve">）使用常用框架构建Web页面；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（6</w:t>
      </w:r>
      <w:r>
        <w:rPr>
          <w:rFonts w:ascii="宋体" w:eastAsia="宋体" w:hAnsi="宋体"/>
          <w:szCs w:val="21"/>
        </w:rPr>
        <w:t>）参与软件产品构思和架构设计；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（7</w:t>
      </w:r>
      <w:r>
        <w:rPr>
          <w:rFonts w:ascii="宋体" w:eastAsia="宋体" w:hAnsi="宋体"/>
          <w:szCs w:val="21"/>
        </w:rPr>
        <w:t>）支持售前技术服务；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（8</w:t>
      </w:r>
      <w:r>
        <w:rPr>
          <w:rFonts w:ascii="宋体" w:eastAsia="宋体" w:hAnsi="宋体"/>
          <w:szCs w:val="21"/>
        </w:rPr>
        <w:t>）支持项目对产品的应用服务；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（9</w:t>
      </w:r>
      <w:r>
        <w:rPr>
          <w:rFonts w:ascii="宋体" w:eastAsia="宋体" w:hAnsi="宋体"/>
          <w:szCs w:val="21"/>
        </w:rPr>
        <w:t>）负责移动产品的api接口和设计开发工作，懂服务器安装和部署；</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（10</w:t>
      </w:r>
      <w:r>
        <w:rPr>
          <w:rFonts w:ascii="宋体" w:eastAsia="宋体" w:hAnsi="宋体"/>
          <w:szCs w:val="21"/>
        </w:rPr>
        <w:t>）快速承接公司系统，快速响应后期网站的功能开发需求；</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（11</w:t>
      </w:r>
      <w:r>
        <w:rPr>
          <w:rFonts w:ascii="宋体" w:eastAsia="宋体" w:hAnsi="宋体"/>
          <w:szCs w:val="21"/>
        </w:rPr>
        <w:t>）同网站产品经理、同事协作，理解需求，根据开发进度和任务分配，完成相应模块的开发、编程任务；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（12</w:t>
      </w:r>
      <w:r>
        <w:rPr>
          <w:rFonts w:ascii="宋体" w:eastAsia="宋体" w:hAnsi="宋体"/>
          <w:szCs w:val="21"/>
        </w:rPr>
        <w:t>）负责主要功能和核心代码的编写；</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（13</w:t>
      </w:r>
      <w:r>
        <w:rPr>
          <w:rFonts w:ascii="宋体" w:eastAsia="宋体" w:hAnsi="宋体"/>
          <w:szCs w:val="21"/>
        </w:rPr>
        <w:t>）参与项目需求的分析，概要设计和详细设计，撰写项目架构设计文档，定期做技术分享与项目总结；</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4</w:t>
      </w:r>
      <w:r>
        <w:rPr>
          <w:rFonts w:ascii="宋体" w:eastAsia="宋体" w:hAnsi="宋体"/>
          <w:szCs w:val="21"/>
        </w:rPr>
        <w:t>）具有良好的协调，沟通能力，能够根据产品需求制定相关技术解决方案。</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2.软件服务工程师工作项目：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1）进行软件销售、软件应用咨询、培训、管理等工作及相应软件技术方面的服务；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 xml:space="preserve">2）对公司系列软件提供售前、售中、售后等技术沟通服务；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 xml:space="preserve">3）给客户提供安装、培训、演示等服务；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4）为客户提供管理咨询，帮助顾客发现软件的价值。</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3.软件测试工程师主要工作项目：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1）使用黑盒测试、白盒测试并设计测试用例完成基本软件测试，使用单元测试、功能测试、集成测试、系统测试、性能测试进行软件测试；</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2）编写测试计划，测试用例，执行测试，进行测试后期相关文档的编写、分析；</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 xml:space="preserve">3）协助测试组长建立健全软件质量管理规范；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4）与项目组员有效沟通，协调问题和缺陷的有效解决；</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5）协助测试组长提高测试分析和用例设计水平；</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6）完成测试组长分配的相应测试任务；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7）创建或生成可复用的测试脚本，并对测试脚本进行维护和改进；</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8）完成测试设计，测试总体方案设计、测试用例的细节设计；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9）使用测试工具和测试技术进行软件测试能力。</w:t>
      </w:r>
    </w:p>
    <w:p>
      <w:pPr>
        <w:pStyle w:val="style0"/>
        <w:snapToGrid w:val="false"/>
        <w:spacing w:lineRule="exact" w:line="380"/>
        <w:ind w:firstLine="420" w:firstLineChars="200"/>
        <w:outlineLvl w:val="1"/>
        <w:rPr>
          <w:rFonts w:ascii="宋体" w:eastAsia="宋体" w:hAnsi="宋体"/>
          <w:szCs w:val="21"/>
        </w:rPr>
      </w:pPr>
      <w:r>
        <w:rPr>
          <w:rFonts w:ascii="宋体" w:eastAsia="宋体" w:hAnsi="宋体" w:hint="eastAsia"/>
          <w:szCs w:val="21"/>
        </w:rPr>
        <w:t>（三）其他岗位及主要工作项目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在目标就业岗位基础上，本专业职业发展和晋升途径如下</w:t>
      </w:r>
      <w:r>
        <w:rPr>
          <w:rFonts w:ascii="宋体" w:eastAsia="宋体" w:hAnsi="宋体"/>
          <w:szCs w:val="21"/>
        </w:rPr>
        <w:t>:</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 xml:space="preserve"> 1.软件开发工程师主要工作项目：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1）熟悉</w:t>
      </w:r>
      <w:r>
        <w:rPr>
          <w:rFonts w:ascii="宋体" w:eastAsia="宋体" w:hAnsi="宋体" w:hint="eastAsia"/>
          <w:szCs w:val="21"/>
        </w:rPr>
        <w:t>应用</w:t>
      </w:r>
      <w:r>
        <w:rPr>
          <w:rFonts w:ascii="宋体" w:eastAsia="宋体" w:hAnsi="宋体"/>
          <w:szCs w:val="21"/>
        </w:rPr>
        <w:t>软件</w:t>
      </w:r>
      <w:r>
        <w:rPr>
          <w:rFonts w:ascii="宋体" w:eastAsia="宋体" w:hAnsi="宋体" w:hint="eastAsia"/>
          <w:szCs w:val="21"/>
        </w:rPr>
        <w:t>系统</w:t>
      </w:r>
      <w:r>
        <w:rPr>
          <w:rFonts w:ascii="宋体" w:eastAsia="宋体" w:hAnsi="宋体"/>
          <w:szCs w:val="21"/>
        </w:rPr>
        <w:t>开发流程；</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2）负责与需求人员对接，熟悉项目的需求规划说明；</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3）负责与开发组长对接，熟悉项目的开发计划及项目的概要设计和数据库设计；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4）负责产品/项目的前端设计与编写，并组织和部署核心程序模块的编写；</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5）负责业务模块的原型设计和用户体验设计等开发工作；</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（6</w:t>
      </w:r>
      <w:r>
        <w:rPr>
          <w:rFonts w:ascii="宋体" w:eastAsia="宋体" w:hAnsi="宋体"/>
          <w:szCs w:val="21"/>
        </w:rPr>
        <w:t>）按计划完成功能模块的功能设计、代码实现，代码编写和单元测试并提交测试人员进行功能测试；</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（7</w:t>
      </w:r>
      <w:r>
        <w:rPr>
          <w:rFonts w:ascii="宋体" w:eastAsia="宋体" w:hAnsi="宋体"/>
          <w:szCs w:val="21"/>
        </w:rPr>
        <w:t>）与测试人员对接，完成相关功能模块的BUG修复；</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（8</w:t>
      </w:r>
      <w:r>
        <w:rPr>
          <w:rFonts w:ascii="宋体" w:eastAsia="宋体" w:hAnsi="宋体"/>
          <w:szCs w:val="21"/>
        </w:rPr>
        <w:t>）根据项目要求，判断是否需要完成《详细设计说明书》的编写；</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（9</w:t>
      </w:r>
      <w:r>
        <w:rPr>
          <w:rFonts w:ascii="宋体" w:eastAsia="宋体" w:hAnsi="宋体"/>
          <w:szCs w:val="21"/>
        </w:rPr>
        <w:t>）严格遵守相关开发工具的编码规范；</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（10</w:t>
      </w:r>
      <w:r>
        <w:rPr>
          <w:rFonts w:ascii="宋体" w:eastAsia="宋体" w:hAnsi="宋体"/>
          <w:szCs w:val="21"/>
        </w:rPr>
        <w:t>）参与需求和设计讨论，对项目开发各个环节进行签字确认；</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（11</w:t>
      </w:r>
      <w:r>
        <w:rPr>
          <w:rFonts w:ascii="宋体" w:eastAsia="宋体" w:hAnsi="宋体"/>
          <w:szCs w:val="21"/>
        </w:rPr>
        <w:t>）为网站前端技服人员提供技术支持，解决技服过程中遇到的相关问题。</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szCs w:val="21"/>
        </w:rPr>
        <w:t>2.软件运维工程师主要工作项目：</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1）积极参与架构设计、从用户角度优化设计方案，以确保在产品发布之后能高效稳定的运行；</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2）保障可用、优化服务，确保用户数据安全，提升用户体验；</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 xml:space="preserve">3）通过技术手段优化服务架构、性能调优；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4）负责用自动化技术或者平台确保产品可以高效的发布上线，之后可以快速稳定迭代；</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5）负责保障产品7*24H稳定运行，在此期间对出现的各种问题可以快速定位并解决；</w:t>
      </w:r>
    </w:p>
    <w:p>
      <w:pPr>
        <w:pStyle w:val="style0"/>
        <w:snapToGrid w:val="false"/>
        <w:spacing w:lineRule="exact" w:line="380"/>
        <w:ind w:firstLine="420" w:firstLineChars="200"/>
        <w:outlineLvl w:val="0"/>
        <w:rPr>
          <w:rFonts w:ascii="Times New Roman" w:eastAsia="宋体" w:hAnsi="Times New Roman"/>
          <w:szCs w:val="21"/>
        </w:rPr>
      </w:pPr>
      <w:r>
        <w:rPr>
          <w:rFonts w:ascii="宋体" w:eastAsia="宋体" w:hAnsi="宋体" w:hint="eastAsia"/>
          <w:szCs w:val="21"/>
        </w:rPr>
        <w:t>（</w:t>
      </w:r>
      <w:r>
        <w:rPr>
          <w:rFonts w:ascii="宋体" w:eastAsia="宋体" w:hAnsi="宋体"/>
          <w:szCs w:val="21"/>
        </w:rPr>
        <w:t>6）在日常工作中不断优化系统架构和部署的合理性，以提升系统服务的稳定性。</w:t>
      </w:r>
    </w:p>
    <w:p>
      <w:pPr>
        <w:pStyle w:val="style0"/>
        <w:snapToGrid w:val="false"/>
        <w:spacing w:lineRule="exact" w:line="380"/>
        <w:ind w:firstLine="482" w:firstLineChars="200"/>
        <w:outlineLvl w:val="0"/>
        <w:rPr>
          <w:rFonts w:ascii="Times New Roman" w:eastAsia="宋体" w:hAnsi="Times New Roman"/>
        </w:rPr>
      </w:pPr>
      <w:r>
        <w:rPr>
          <w:rFonts w:ascii="Times New Roman" w:eastAsia="宋体" w:hAnsi="Times New Roman"/>
          <w:b/>
          <w:sz w:val="24"/>
        </w:rPr>
        <w:t>四、</w:t>
      </w:r>
      <w:r>
        <w:rPr>
          <w:rFonts w:ascii="Times New Roman" w:eastAsia="宋体" w:hAnsi="Times New Roman" w:hint="eastAsia"/>
          <w:b/>
          <w:sz w:val="24"/>
        </w:rPr>
        <w:t>人才规格</w:t>
      </w:r>
      <w:r>
        <w:rPr>
          <w:rFonts w:ascii="Times New Roman" w:eastAsia="宋体" w:hAnsi="Times New Roman" w:hint="eastAsia"/>
        </w:rPr>
        <w:t xml:space="preserve">    </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（一）通用职业能力和素质</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hint="eastAsia"/>
          <w:szCs w:val="21"/>
        </w:rPr>
        <w:t>1.思想政治素质：热爱社会主义祖国，能够准确理解和把握社会主义核心价值观的深刻内涵和实践要求，具有正确的世界观、人生观、价值观。</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hint="eastAsia"/>
          <w:szCs w:val="21"/>
        </w:rPr>
        <w:t>2.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3.</w:t>
      </w:r>
      <w:r>
        <w:rPr>
          <w:rFonts w:ascii="Times New Roman" w:cs="Times New Roman" w:eastAsia="宋体" w:hAnsi="Times New Roman" w:hint="eastAsia"/>
          <w:szCs w:val="21"/>
        </w:rPr>
        <w:t>文化素质：提升大学生的人文素养和文化底蕴，培养沟通交流、阅读理解、应用写作、文学鉴赏，促进学生的专业学习和综合素质提升。</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4.</w:t>
      </w:r>
      <w:r>
        <w:rPr>
          <w:rFonts w:ascii="Times New Roman" w:cs="Times New Roman" w:eastAsia="宋体" w:hAnsi="Times New Roman" w:hint="eastAsia"/>
          <w:szCs w:val="21"/>
        </w:rPr>
        <w:t>职业素质：树立正确的职业价值观、良好的职业精神、遵守职业法规、坚守职业理想。</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5.</w:t>
      </w:r>
      <w:r>
        <w:rPr>
          <w:rFonts w:ascii="Times New Roman" w:cs="Times New Roman" w:eastAsia="宋体" w:hAnsi="Times New Roman" w:hint="eastAsia"/>
          <w:szCs w:val="21"/>
        </w:rPr>
        <w:t>基本通用能力：提升通用基础能力，包括自我学习管理能力、数字运用能力、信息处理能力和中文外语能力。</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6.</w:t>
      </w:r>
      <w:r>
        <w:rPr>
          <w:rFonts w:ascii="Times New Roman" w:cs="Times New Roman" w:eastAsia="宋体" w:hAnsi="Times New Roman" w:hint="eastAsia"/>
          <w:szCs w:val="21"/>
        </w:rPr>
        <w:t>关键社会能力：促进有效参与社会实践、提升社会担当意识，包括交流沟通、团队合作、社会责任和社会认知能力。</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7.</w:t>
      </w:r>
      <w:r>
        <w:rPr>
          <w:rFonts w:ascii="Times New Roman" w:cs="Times New Roman" w:eastAsia="宋体" w:hAnsi="Times New Roman" w:hint="eastAsia"/>
          <w:szCs w:val="21"/>
        </w:rPr>
        <w:t>创新创业能力：培养良好的创新精神、创造性思维，促进参与创业实践，提升复合型能力和综合素质。</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8.</w:t>
      </w:r>
      <w:r>
        <w:rPr>
          <w:rFonts w:ascii="Times New Roman" w:cs="Times New Roman" w:eastAsia="宋体" w:hAnsi="Times New Roman" w:hint="eastAsia"/>
          <w:szCs w:val="21"/>
        </w:rPr>
        <w:t>工匠精神：融“工匠精神”于课程教学中，培养学生敬业、精益、专注等方面的能力，引导学生具有追求极致和卓越、精益求精、配合协作的精神。</w:t>
      </w:r>
    </w:p>
    <w:p>
      <w:pPr>
        <w:pStyle w:val="style0"/>
        <w:snapToGrid w:val="false"/>
        <w:spacing w:lineRule="exact" w:line="380"/>
        <w:ind w:firstLine="420" w:firstLineChars="200"/>
        <w:rPr>
          <w:rFonts w:ascii="Times New Roman" w:cs="Times New Roman" w:eastAsia="宋体" w:hAnsi="Times New Roman"/>
          <w:szCs w:val="21"/>
        </w:rPr>
      </w:pPr>
      <w:r>
        <w:rPr>
          <w:rFonts w:ascii="Times New Roman" w:cs="Times New Roman" w:eastAsia="宋体" w:hAnsi="Times New Roman"/>
          <w:szCs w:val="21"/>
        </w:rPr>
        <w:t>9.</w:t>
      </w:r>
      <w:r>
        <w:rPr>
          <w:rFonts w:ascii="Times New Roman" w:cs="Times New Roman" w:eastAsia="宋体" w:hAnsi="Times New Roman" w:hint="eastAsia"/>
          <w:szCs w:val="21"/>
        </w:rPr>
        <w:t>劳动素养：具备职业荣誉感和责任感，积极向上的劳动精神和认真负责的劳动态度；具有良好的敬业精神和吃苦耐劳、团结合作、严谨细致的工作态度。</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（二）专业职业能力及职业素质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1.</w:t>
      </w:r>
      <w:r>
        <w:rPr>
          <w:rFonts w:ascii="宋体" w:eastAsia="宋体" w:hAnsi="宋体"/>
          <w:szCs w:val="21"/>
        </w:rPr>
        <w:t xml:space="preserve"> 软件开发职业能力及职业素质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1）岗位共性基础能力</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hint="eastAsia"/>
          <w:szCs w:val="21"/>
        </w:rPr>
        <w:t>软件</w:t>
      </w:r>
      <w:r>
        <w:rPr>
          <w:rFonts w:ascii="宋体" w:eastAsia="宋体" w:hAnsi="宋体"/>
          <w:szCs w:val="21"/>
        </w:rPr>
        <w:t>行业基础能力：熟悉</w:t>
      </w:r>
      <w:r>
        <w:rPr>
          <w:rFonts w:ascii="宋体" w:eastAsia="宋体" w:hAnsi="宋体" w:hint="eastAsia"/>
          <w:szCs w:val="21"/>
        </w:rPr>
        <w:t>软件</w:t>
      </w:r>
      <w:r>
        <w:rPr>
          <w:rFonts w:ascii="宋体" w:eastAsia="宋体" w:hAnsi="宋体"/>
          <w:szCs w:val="21"/>
        </w:rPr>
        <w:t>行业必备的基础知识，熟悉网络基础知识，熟悉TCP/IP、HTTP、</w:t>
      </w:r>
      <w:r>
        <w:rPr>
          <w:rFonts w:ascii="宋体" w:eastAsia="宋体" w:hAnsi="宋体" w:hint="eastAsia"/>
          <w:szCs w:val="21"/>
        </w:rPr>
        <w:t>计算机网络</w:t>
      </w:r>
      <w:r>
        <w:rPr>
          <w:rFonts w:ascii="宋体" w:eastAsia="宋体" w:hAnsi="宋体"/>
          <w:szCs w:val="21"/>
        </w:rPr>
        <w:t>等网络协议，</w:t>
      </w:r>
      <w:r>
        <w:rPr>
          <w:rFonts w:ascii="宋体" w:eastAsia="宋体" w:hAnsi="宋体" w:hint="eastAsia"/>
          <w:szCs w:val="21"/>
        </w:rPr>
        <w:t>熟悉网络安全、信息安全基础知识，</w:t>
      </w:r>
      <w:r>
        <w:rPr>
          <w:rFonts w:ascii="宋体" w:eastAsia="宋体" w:hAnsi="宋体"/>
          <w:szCs w:val="21"/>
        </w:rPr>
        <w:t>熟练掌握服务器操作系统，如Linux管理与维护；</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szCs w:val="21"/>
        </w:rPr>
        <w:t>沟通能力、合作精神：具备软件开发与实施过程中基本的沟通能力和合作精神</w:t>
      </w:r>
      <w:r>
        <w:rPr>
          <w:rFonts w:ascii="宋体" w:eastAsia="宋体" w:hAnsi="宋体" w:hint="eastAsia"/>
          <w:szCs w:val="21"/>
        </w:rPr>
        <w:t>；</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szCs w:val="21"/>
        </w:rPr>
        <w:t>设计静态网页能力：根据UI设计的界面原型图，熟练使用HTML、CSS、DIV技术实现和设计标准、规范的WEB客户端界面的能力；</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szCs w:val="21"/>
        </w:rPr>
        <w:t>程序语言设计与开发能力：熟练使用Java语言进行逻辑程序设计和面向对象编程（JAVA OOP）；</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szCs w:val="21"/>
        </w:rPr>
        <w:t>数据库技术应用能力：使用数据库理论和设计工具设计简单数据库，并能熟练使用和应用数据库系统（SQL Server 2008和MySQL）；</w:t>
      </w:r>
    </w:p>
    <w:p>
      <w:pPr>
        <w:pStyle w:val="style0"/>
        <w:numPr>
          <w:ilvl w:val="0"/>
          <w:numId w:val="1"/>
        </w:numPr>
        <w:snapToGrid w:val="false"/>
        <w:spacing w:lineRule="exact" w:line="380"/>
        <w:outlineLvl w:val="0"/>
        <w:rPr>
          <w:rFonts w:ascii="宋体" w:eastAsia="宋体" w:hAnsi="宋体"/>
          <w:szCs w:val="21"/>
        </w:rPr>
      </w:pPr>
      <w:r>
        <w:rPr>
          <w:rFonts w:ascii="宋体" w:eastAsia="宋体" w:hAnsi="宋体"/>
          <w:szCs w:val="21"/>
        </w:rPr>
        <w:t>设计开发B/S架构</w:t>
      </w:r>
      <w:r>
        <w:rPr>
          <w:rFonts w:ascii="宋体" w:eastAsia="宋体" w:hAnsi="宋体" w:hint="eastAsia"/>
          <w:szCs w:val="21"/>
        </w:rPr>
        <w:t>应用</w:t>
      </w:r>
      <w:r>
        <w:rPr>
          <w:rFonts w:ascii="宋体" w:eastAsia="宋体" w:hAnsi="宋体"/>
          <w:szCs w:val="21"/>
        </w:rPr>
        <w:t>软件能力：应用JAVA WEB技术设计</w:t>
      </w:r>
      <w:r>
        <w:rPr>
          <w:rFonts w:ascii="宋体" w:eastAsia="宋体" w:hAnsi="宋体" w:hint="eastAsia"/>
          <w:szCs w:val="21"/>
        </w:rPr>
        <w:t>和</w:t>
      </w:r>
      <w:r>
        <w:rPr>
          <w:rFonts w:ascii="宋体" w:eastAsia="宋体" w:hAnsi="宋体"/>
          <w:szCs w:val="21"/>
        </w:rPr>
        <w:t>B/S架构</w:t>
      </w:r>
      <w:r>
        <w:rPr>
          <w:rFonts w:ascii="宋体" w:eastAsia="宋体" w:hAnsi="宋体" w:hint="eastAsia"/>
          <w:szCs w:val="21"/>
        </w:rPr>
        <w:t>开发</w:t>
      </w:r>
      <w:r>
        <w:rPr>
          <w:rFonts w:ascii="宋体" w:eastAsia="宋体" w:hAnsi="宋体"/>
          <w:szCs w:val="21"/>
        </w:rPr>
        <w:t>软件，具备一定的软件调试和测试能力。</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2）软件设计和开发进阶能力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应用轻量级框架技术能力：应用JAVA EE轻量级框架技术进行持久化设计、测试的能力；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Web应用程序开发综合能力：使用HTML、JSP、框架进行Web项目设计、开发和测试的综合能力；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企业级应用程序开发综合能力：使用Java技术进行逻辑程序设计，企业级中大型软件设计和开发综合能力；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APP开发能力：使用</w:t>
      </w:r>
      <w:r>
        <w:rPr>
          <w:rFonts w:ascii="宋体" w:eastAsia="宋体" w:hAnsi="宋体" w:hint="eastAsia"/>
          <w:szCs w:val="21"/>
        </w:rPr>
        <w:t>移动应用</w:t>
      </w:r>
      <w:r>
        <w:rPr>
          <w:rFonts w:ascii="宋体" w:eastAsia="宋体" w:hAnsi="宋体"/>
          <w:szCs w:val="21"/>
        </w:rPr>
        <w:t>技术，进行APP软件设计与开发能力。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网站前端全栈项目开发能力：熟练使用JavaScript、JQuery控制实现界面交互动态效果的能力；熟悉常用的JS框架、bootstrap、JQuery Mobile等常用框架，具备调试符合W3C标准、兼容IE7、IE8、IE9、FireFox等多种浏览器的能力；</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移动端项目开发能力：熟练制作APP移动终端应用软件界面、网站界面等，并能结合真实项目实施应用；</w:t>
      </w:r>
    </w:p>
    <w:p>
      <w:pPr>
        <w:pStyle w:val="style0"/>
        <w:numPr>
          <w:ilvl w:val="0"/>
          <w:numId w:val="2"/>
        </w:numPr>
        <w:snapToGrid w:val="false"/>
        <w:spacing w:lineRule="exact" w:line="380"/>
        <w:outlineLvl w:val="0"/>
        <w:rPr>
          <w:rFonts w:ascii="宋体" w:eastAsia="宋体" w:hAnsi="宋体"/>
          <w:szCs w:val="21"/>
        </w:rPr>
      </w:pPr>
      <w:r>
        <w:rPr>
          <w:rFonts w:ascii="宋体" w:eastAsia="宋体" w:hAnsi="宋体"/>
          <w:szCs w:val="21"/>
        </w:rPr>
        <w:t>软件项目营销能力：能结合主流社交平台，如QQ、微信，或其他媒体平台，如百度等进行软件项目的网络推广和营销。</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2</w:t>
      </w:r>
      <w:r>
        <w:rPr>
          <w:rFonts w:ascii="宋体" w:eastAsia="宋体" w:hAnsi="宋体"/>
          <w:szCs w:val="21"/>
        </w:rPr>
        <w:t>.软件运维（服务）职业能力及职业素质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软件</w:t>
      </w:r>
      <w:r>
        <w:rPr>
          <w:rFonts w:ascii="宋体" w:eastAsia="宋体" w:hAnsi="宋体"/>
          <w:szCs w:val="21"/>
        </w:rPr>
        <w:t>行业基础能力：熟悉</w:t>
      </w:r>
      <w:r>
        <w:rPr>
          <w:rFonts w:ascii="宋体" w:eastAsia="宋体" w:hAnsi="宋体" w:hint="eastAsia"/>
          <w:szCs w:val="21"/>
        </w:rPr>
        <w:t>软件</w:t>
      </w:r>
      <w:r>
        <w:rPr>
          <w:rFonts w:ascii="宋体" w:eastAsia="宋体" w:hAnsi="宋体"/>
          <w:szCs w:val="21"/>
        </w:rPr>
        <w:t>行业必备的基础知识，熟悉网络基础知识，熟悉TCP/IP、HTTP、</w:t>
      </w:r>
      <w:r>
        <w:rPr>
          <w:rFonts w:ascii="宋体" w:eastAsia="宋体" w:hAnsi="宋体" w:hint="eastAsia"/>
          <w:szCs w:val="21"/>
        </w:rPr>
        <w:t>计算机网络</w:t>
      </w:r>
      <w:r>
        <w:rPr>
          <w:rFonts w:ascii="宋体" w:eastAsia="宋体" w:hAnsi="宋体"/>
          <w:szCs w:val="21"/>
        </w:rPr>
        <w:t>等网络协议，</w:t>
      </w:r>
      <w:r>
        <w:rPr>
          <w:rFonts w:ascii="宋体" w:eastAsia="宋体" w:hAnsi="宋体" w:hint="eastAsia"/>
          <w:szCs w:val="21"/>
        </w:rPr>
        <w:t>熟悉网络安全、信息安全基础知识，</w:t>
      </w:r>
      <w:r>
        <w:rPr>
          <w:rFonts w:ascii="宋体" w:eastAsia="宋体" w:hAnsi="宋体"/>
          <w:szCs w:val="21"/>
        </w:rPr>
        <w:t>熟练掌握服务器操作系统，如Linux管理与维护；</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2）沟通能力、合作精神：具备软件开发与实施过程中基本的沟通能力和合作精神；</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3）设计静态网页能力：根据UI设计的界面原型图，熟练使用HTML、CSS、DIV技术实现和设计标准、规范的WEB客户端界面的能力；</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4）程序语言设计与开发能力：熟练使用Java语言进行逻辑程序设计和面向对象编程（JAVA OOP）；</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5）数据库技术应用能力：使用数据库理论和设计工具设计简单数据库，并能熟练使用和应用数据库系统（SQL Server 2008和MySQL）；</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6）设计开发B/S架构应用软件能力：应用JAVA WEB技术设计</w:t>
      </w:r>
      <w:r>
        <w:rPr>
          <w:rFonts w:ascii="宋体" w:eastAsia="宋体" w:hAnsi="宋体" w:hint="eastAsia"/>
          <w:szCs w:val="21"/>
        </w:rPr>
        <w:t>和</w:t>
      </w:r>
      <w:r>
        <w:rPr>
          <w:rFonts w:ascii="宋体" w:eastAsia="宋体" w:hAnsi="宋体"/>
          <w:szCs w:val="21"/>
        </w:rPr>
        <w:t>B/S架构</w:t>
      </w:r>
      <w:r>
        <w:rPr>
          <w:rFonts w:ascii="宋体" w:eastAsia="宋体" w:hAnsi="宋体" w:hint="eastAsia"/>
          <w:szCs w:val="21"/>
        </w:rPr>
        <w:t>开发</w:t>
      </w:r>
      <w:r>
        <w:rPr>
          <w:rFonts w:ascii="宋体" w:eastAsia="宋体" w:hAnsi="宋体"/>
          <w:szCs w:val="21"/>
        </w:rPr>
        <w:t>软件，具备一定的软件调试和测试能力。</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3</w:t>
      </w:r>
      <w:r>
        <w:rPr>
          <w:rFonts w:ascii="宋体" w:eastAsia="宋体" w:hAnsi="宋体"/>
          <w:szCs w:val="21"/>
        </w:rPr>
        <w:t>.软件测试职业能力及职业素质</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 xml:space="preserve">1）了解软件工程、软件生命周期、软件测试工具，掌握中小型软件系统的测试流程与测试方法； </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2）具有一定的软件测试能力，能够理解软件测试方案，掌握软件测试分析方法，运用相关测试工具测试软件，能有效提高软件测试质量；</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3）测试用例及测试用例的设计；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4）软件测试的方法；</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5）测试计划：测试计划文档的作用、内容、要点和测试计划制订的具体过程；</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6）面向对象软件测试：面向对象软件的测试与非面向对象软件测试的区别；</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7）面向对象软件测试用例的设计；</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8）面向对象软件的测试过程；</w:t>
      </w:r>
    </w:p>
    <w:p>
      <w:pPr>
        <w:pStyle w:val="style0"/>
        <w:snapToGrid w:val="false"/>
        <w:spacing w:lineRule="exact" w:line="380"/>
        <w:ind w:firstLine="420" w:firstLineChars="200"/>
        <w:outlineLvl w:val="0"/>
        <w:rPr>
          <w:rFonts w:ascii="宋体" w:eastAsia="宋体" w:hAnsi="宋体"/>
          <w:szCs w:val="21"/>
        </w:rPr>
      </w:pPr>
      <w:r>
        <w:rPr>
          <w:rFonts w:ascii="宋体" w:eastAsia="宋体" w:hAnsi="宋体" w:hint="eastAsia"/>
          <w:szCs w:val="21"/>
        </w:rPr>
        <w:t>（</w:t>
      </w:r>
      <w:r>
        <w:rPr>
          <w:rFonts w:ascii="宋体" w:eastAsia="宋体" w:hAnsi="宋体"/>
          <w:szCs w:val="21"/>
        </w:rPr>
        <w:t>9）自动化测试工具的分类和选择方法。</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（三）职业资格证书要求</w:t>
      </w:r>
    </w:p>
    <w:p>
      <w:pPr>
        <w:pStyle w:val="style0"/>
        <w:ind w:firstLine="420" w:firstLineChars="200"/>
        <w:rPr>
          <w:rFonts w:ascii="宋体" w:eastAsia="宋体" w:hAnsi="宋体"/>
          <w:bCs/>
          <w:szCs w:val="21"/>
        </w:rPr>
      </w:pPr>
      <w:r>
        <w:rPr>
          <w:rFonts w:ascii="宋体" w:eastAsia="宋体" w:hAnsi="宋体" w:hint="eastAsia"/>
          <w:bCs/>
          <w:szCs w:val="21"/>
        </w:rPr>
        <w:t>组织学生自愿参加工信部Java工程师考证，</w:t>
      </w:r>
      <w:r>
        <w:rPr>
          <w:rFonts w:ascii="宋体" w:eastAsia="宋体" w:hAnsi="宋体"/>
          <w:bCs/>
          <w:szCs w:val="21"/>
        </w:rPr>
        <w:t>或者参加全国软件专业技术资格（水平）考试，获取</w:t>
      </w:r>
      <w:r>
        <w:rPr>
          <w:rFonts w:ascii="宋体" w:eastAsia="宋体" w:hAnsi="宋体" w:hint="eastAsia"/>
          <w:bCs/>
          <w:szCs w:val="21"/>
        </w:rPr>
        <w:t>程序员、信息系统运行管理员或助理软件工程师</w:t>
      </w:r>
      <w:r>
        <w:rPr>
          <w:rFonts w:ascii="宋体" w:eastAsia="宋体" w:hAnsi="宋体"/>
          <w:bCs/>
          <w:szCs w:val="21"/>
        </w:rPr>
        <w:t>资格证书</w:t>
      </w:r>
      <w:r>
        <w:rPr>
          <w:rFonts w:ascii="宋体" w:eastAsia="宋体" w:hAnsi="宋体" w:hint="eastAsia"/>
          <w:bCs/>
          <w:szCs w:val="21"/>
        </w:rPr>
        <w:t>。</w:t>
      </w:r>
    </w:p>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五</w:t>
      </w:r>
      <w:r>
        <w:rPr>
          <w:rFonts w:ascii="Times New Roman" w:eastAsia="宋体" w:hAnsi="Times New Roman"/>
          <w:b/>
          <w:sz w:val="24"/>
        </w:rPr>
        <w:t>、</w:t>
      </w:r>
      <w:r>
        <w:rPr>
          <w:rFonts w:ascii="Times New Roman" w:eastAsia="宋体" w:hAnsi="Times New Roman" w:hint="eastAsia"/>
          <w:b/>
          <w:sz w:val="24"/>
        </w:rPr>
        <w:t>人才规格与对应的课程</w:t>
      </w:r>
    </w:p>
    <w:tbl>
      <w:tblPr>
        <w:tblStyle w:val="style105"/>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8"/>
        <w:gridCol w:w="1418"/>
        <w:gridCol w:w="1701"/>
        <w:gridCol w:w="5115"/>
      </w:tblGrid>
      <w:tr>
        <w:trPr>
          <w:cantSplit/>
          <w:trHeight w:val="20" w:hRule="atLeast"/>
          <w:jc w:val="center"/>
        </w:trPr>
        <w:tc>
          <w:tcPr>
            <w:tcW w:w="998" w:type="dxa"/>
            <w:tcBorders/>
            <w:vAlign w:val="center"/>
          </w:tcPr>
          <w:p>
            <w:pPr>
              <w:pStyle w:val="style0"/>
              <w:spacing w:lineRule="exact" w:line="300"/>
              <w:jc w:val="center"/>
              <w:rPr>
                <w:rFonts w:ascii="Times New Roman" w:cs="宋体" w:eastAsia="宋体" w:hAnsi="Times New Roman"/>
                <w:b/>
                <w:bCs/>
                <w:sz w:val="18"/>
              </w:rPr>
            </w:pPr>
            <w:r>
              <w:rPr>
                <w:rFonts w:ascii="Times New Roman" w:cs="宋体" w:eastAsia="宋体" w:hAnsi="Times New Roman" w:hint="eastAsia"/>
                <w:b/>
                <w:bCs/>
                <w:sz w:val="18"/>
              </w:rPr>
              <w:t>类别</w:t>
            </w:r>
          </w:p>
        </w:tc>
        <w:tc>
          <w:tcPr>
            <w:tcW w:w="1418" w:type="dxa"/>
            <w:tcBorders/>
            <w:vAlign w:val="center"/>
          </w:tcPr>
          <w:p>
            <w:pPr>
              <w:pStyle w:val="style0"/>
              <w:spacing w:lineRule="exact" w:line="300"/>
              <w:jc w:val="center"/>
              <w:rPr>
                <w:rFonts w:ascii="Times New Roman" w:cs="宋体" w:eastAsia="宋体" w:hAnsi="Times New Roman"/>
                <w:b/>
                <w:bCs/>
                <w:sz w:val="18"/>
              </w:rPr>
            </w:pPr>
            <w:r>
              <w:rPr>
                <w:rFonts w:ascii="Times New Roman" w:cs="宋体" w:eastAsia="宋体" w:hAnsi="Times New Roman" w:hint="eastAsia"/>
                <w:b/>
                <w:bCs/>
                <w:sz w:val="18"/>
              </w:rPr>
              <w:t>能力和素质</w:t>
            </w:r>
          </w:p>
          <w:p>
            <w:pPr>
              <w:pStyle w:val="style0"/>
              <w:spacing w:lineRule="exact" w:line="300"/>
              <w:jc w:val="center"/>
              <w:rPr>
                <w:rFonts w:ascii="Times New Roman" w:cs="宋体" w:eastAsia="宋体" w:hAnsi="Times New Roman"/>
                <w:b/>
                <w:bCs/>
                <w:sz w:val="18"/>
              </w:rPr>
            </w:pPr>
            <w:r>
              <w:rPr>
                <w:rFonts w:ascii="Times New Roman" w:cs="宋体" w:eastAsia="宋体" w:hAnsi="Times New Roman" w:hint="eastAsia"/>
                <w:b/>
                <w:bCs/>
                <w:sz w:val="18"/>
              </w:rPr>
              <w:t>名称</w:t>
            </w:r>
          </w:p>
        </w:tc>
        <w:tc>
          <w:tcPr>
            <w:tcW w:w="1701" w:type="dxa"/>
            <w:tcBorders/>
            <w:vAlign w:val="center"/>
          </w:tcPr>
          <w:p>
            <w:pPr>
              <w:pStyle w:val="style0"/>
              <w:spacing w:lineRule="exact" w:line="300"/>
              <w:jc w:val="center"/>
              <w:rPr>
                <w:rFonts w:ascii="Times New Roman" w:cs="宋体" w:eastAsia="宋体" w:hAnsi="Times New Roman"/>
                <w:b/>
                <w:bCs/>
                <w:sz w:val="18"/>
              </w:rPr>
            </w:pPr>
            <w:r>
              <w:rPr>
                <w:rFonts w:ascii="Times New Roman" w:cs="宋体" w:eastAsia="宋体" w:hAnsi="Times New Roman" w:hint="eastAsia"/>
                <w:b/>
                <w:bCs/>
                <w:sz w:val="18"/>
              </w:rPr>
              <w:t>具体培养目标</w:t>
            </w:r>
          </w:p>
        </w:tc>
        <w:tc>
          <w:tcPr>
            <w:tcW w:w="5115" w:type="dxa"/>
            <w:tcBorders/>
            <w:vAlign w:val="center"/>
          </w:tcPr>
          <w:p>
            <w:pPr>
              <w:pStyle w:val="style0"/>
              <w:spacing w:lineRule="exact" w:line="300"/>
              <w:jc w:val="center"/>
              <w:rPr>
                <w:rFonts w:ascii="Times New Roman" w:cs="宋体" w:eastAsia="宋体" w:hAnsi="Times New Roman"/>
                <w:b/>
                <w:bCs/>
                <w:sz w:val="18"/>
              </w:rPr>
            </w:pPr>
            <w:r>
              <w:rPr>
                <w:rFonts w:ascii="Times New Roman" w:cs="宋体" w:eastAsia="宋体" w:hAnsi="Times New Roman" w:hint="eastAsia"/>
                <w:b/>
                <w:bCs/>
                <w:sz w:val="18"/>
              </w:rPr>
              <w:t>对应的课程/活动</w:t>
            </w:r>
          </w:p>
        </w:tc>
      </w:tr>
      <w:tr>
        <w:tblPrEx/>
        <w:trPr>
          <w:cantSplit/>
          <w:trHeight w:val="20" w:hRule="atLeast"/>
          <w:jc w:val="center"/>
        </w:trPr>
        <w:tc>
          <w:tcPr>
            <w:tcW w:w="998" w:type="dxa"/>
            <w:vMerge w:val="restart"/>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通用职业能力和素质</w:t>
            </w:r>
          </w:p>
        </w:tc>
        <w:tc>
          <w:tcPr>
            <w:tcW w:w="1418" w:type="dxa"/>
            <w:vMerge w:val="restart"/>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思想政治素质</w:t>
            </w: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高尚的思想境界</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sz w:val="18"/>
              </w:rPr>
              <w:t>思想道德与法治</w:t>
            </w:r>
            <w:r>
              <w:rPr>
                <w:rFonts w:ascii="Times New Roman" w:cs="宋体" w:eastAsia="宋体" w:hAnsi="Times New Roman" w:hint="eastAsia"/>
                <w:bCs/>
                <w:sz w:val="18"/>
                <w:szCs w:val="18"/>
              </w:rPr>
              <w:t>、</w:t>
            </w:r>
            <w:r>
              <w:rPr>
                <w:rFonts w:ascii="Times New Roman" w:cs="宋体" w:eastAsia="宋体" w:hAnsi="Times New Roman" w:hint="eastAsia"/>
                <w:kern w:val="0"/>
                <w:sz w:val="18"/>
                <w:szCs w:val="18"/>
              </w:rPr>
              <w:t>毛泽东思想和中国特色社会主义理论体系概论、习近平新时代中国特色社会主义思想概论、形势与政策、五粮文化育人学思践悟、红色文化；凌志讲坛、弘扬井冈山精神等相关实践活动等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vMerge w:val="continue"/>
            <w:tcBorders/>
            <w:vAlign w:val="center"/>
          </w:tcPr>
          <w:p>
            <w:pPr>
              <w:pStyle w:val="style0"/>
              <w:spacing w:lineRule="exact" w:line="240"/>
              <w:jc w:val="center"/>
              <w:rPr>
                <w:rFonts w:ascii="Times New Roman" w:cs="宋体" w:eastAsia="宋体" w:hAnsi="Times New Roman"/>
                <w:bCs/>
                <w:sz w:val="18"/>
              </w:rPr>
            </w:pP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敏锐的政治觉悟</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sz w:val="18"/>
              </w:rPr>
              <w:t>思想道德与法治</w:t>
            </w:r>
            <w:r>
              <w:rPr>
                <w:rFonts w:ascii="Times New Roman" w:cs="宋体" w:eastAsia="宋体" w:hAnsi="Times New Roman" w:hint="eastAsia"/>
                <w:bCs/>
                <w:sz w:val="18"/>
                <w:szCs w:val="18"/>
              </w:rPr>
              <w:t>、</w:t>
            </w:r>
            <w:r>
              <w:rPr>
                <w:rFonts w:ascii="Times New Roman" w:cs="宋体" w:eastAsia="宋体" w:hAnsi="Times New Roman" w:hint="eastAsia"/>
                <w:kern w:val="0"/>
                <w:sz w:val="18"/>
                <w:szCs w:val="18"/>
              </w:rPr>
              <w:t>毛泽东思想和中国特色社会主义理论体系概论、习近平新时代中国特色社会主义思想概论、形势与政策、红色文化、学院</w:t>
            </w:r>
            <w:r>
              <w:rPr>
                <w:rFonts w:ascii="Times New Roman" w:cs="宋体" w:eastAsia="宋体" w:hAnsi="Times New Roman" w:hint="eastAsia"/>
                <w:sz w:val="18"/>
              </w:rPr>
              <w:t>和系（部）</w:t>
            </w:r>
            <w:r>
              <w:rPr>
                <w:rFonts w:ascii="Times New Roman" w:cs="宋体" w:eastAsia="宋体" w:hAnsi="Times New Roman" w:hint="eastAsia"/>
                <w:kern w:val="0"/>
                <w:sz w:val="18"/>
                <w:szCs w:val="18"/>
              </w:rPr>
              <w:t>相关活动等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vMerge w:val="continue"/>
            <w:tcBorders/>
            <w:vAlign w:val="center"/>
          </w:tcPr>
          <w:p>
            <w:pPr>
              <w:pStyle w:val="style0"/>
              <w:spacing w:lineRule="exact" w:line="240"/>
              <w:jc w:val="center"/>
              <w:rPr>
                <w:rFonts w:ascii="Times New Roman" w:cs="宋体" w:eastAsia="宋体" w:hAnsi="Times New Roman"/>
                <w:bCs/>
                <w:sz w:val="18"/>
              </w:rPr>
            </w:pP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优秀的道德品质</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sz w:val="18"/>
              </w:rPr>
              <w:t>思想道德与法治</w:t>
            </w:r>
            <w:r>
              <w:rPr>
                <w:rFonts w:ascii="Times New Roman" w:cs="宋体" w:eastAsia="宋体" w:hAnsi="Times New Roman" w:hint="eastAsia"/>
                <w:bCs/>
                <w:sz w:val="18"/>
                <w:szCs w:val="18"/>
              </w:rPr>
              <w:t>、</w:t>
            </w:r>
            <w:r>
              <w:rPr>
                <w:rFonts w:ascii="Times New Roman" w:cs="宋体" w:eastAsia="宋体" w:hAnsi="Times New Roman" w:hint="eastAsia"/>
                <w:kern w:val="0"/>
                <w:sz w:val="18"/>
                <w:szCs w:val="18"/>
              </w:rPr>
              <w:t>毛泽东思想和中国特色社会主义理论体系概论、习近平新时代中国特色社会主义思想概论、红色文化、五粮文化育人学思践悟、学院</w:t>
            </w:r>
            <w:r>
              <w:rPr>
                <w:rFonts w:ascii="Times New Roman" w:cs="宋体" w:eastAsia="宋体" w:hAnsi="Times New Roman" w:hint="eastAsia"/>
                <w:sz w:val="18"/>
              </w:rPr>
              <w:t>和系（部）</w:t>
            </w:r>
            <w:r>
              <w:rPr>
                <w:rFonts w:ascii="Times New Roman" w:cs="宋体" w:eastAsia="宋体" w:hAnsi="Times New Roman" w:hint="eastAsia"/>
                <w:kern w:val="0"/>
                <w:sz w:val="18"/>
                <w:szCs w:val="18"/>
              </w:rPr>
              <w:t>相关活动等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身体素质</w:t>
            </w: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健康的身心</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sz w:val="18"/>
              </w:rPr>
              <w:t>体育与健康、大学生心理健康教育、大学生健康教育以及围绕锻炼身体的相关体育竞技运动和活动等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文化素质</w:t>
            </w: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良好的文化底蕴</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kern w:val="0"/>
                <w:sz w:val="18"/>
                <w:szCs w:val="18"/>
              </w:rPr>
              <w:t>红色文化、</w:t>
            </w:r>
            <w:r>
              <w:rPr>
                <w:rFonts w:ascii="Times New Roman" w:cs="宋体" w:eastAsia="宋体" w:hAnsi="Times New Roman" w:hint="eastAsia"/>
                <w:bCs/>
                <w:sz w:val="18"/>
              </w:rPr>
              <w:t>人文及美育素养类选修课</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职业素质</w:t>
            </w: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正确的职业价值观</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kern w:val="0"/>
                <w:sz w:val="18"/>
                <w:szCs w:val="18"/>
              </w:rPr>
              <w:t>思想道德与法治、劳动教育、</w:t>
            </w:r>
            <w:r>
              <w:rPr>
                <w:rFonts w:ascii="Times New Roman" w:cs="宋体" w:eastAsia="宋体" w:hAnsi="Times New Roman" w:hint="eastAsia"/>
                <w:bCs/>
                <w:kern w:val="0"/>
                <w:sz w:val="18"/>
                <w:szCs w:val="18"/>
              </w:rPr>
              <w:t>职业生涯规划、</w:t>
            </w:r>
            <w:r>
              <w:rPr>
                <w:rFonts w:ascii="Times New Roman" w:cs="宋体" w:eastAsia="宋体" w:hAnsi="Times New Roman" w:hint="eastAsia"/>
                <w:kern w:val="0"/>
                <w:sz w:val="18"/>
                <w:szCs w:val="18"/>
              </w:rPr>
              <w:t>大学生创新创业基础、大学生就业指导、创新创业类选修课、学院</w:t>
            </w:r>
            <w:r>
              <w:rPr>
                <w:rFonts w:ascii="Times New Roman" w:cs="宋体" w:eastAsia="宋体" w:hAnsi="Times New Roman" w:hint="eastAsia"/>
                <w:sz w:val="18"/>
              </w:rPr>
              <w:t>和系（部）</w:t>
            </w:r>
            <w:r>
              <w:rPr>
                <w:rFonts w:ascii="Times New Roman" w:cs="宋体" w:eastAsia="宋体" w:hAnsi="Times New Roman" w:hint="eastAsia"/>
                <w:kern w:val="0"/>
                <w:sz w:val="18"/>
                <w:szCs w:val="18"/>
              </w:rPr>
              <w:t>相关活动等</w:t>
            </w:r>
          </w:p>
        </w:tc>
      </w:tr>
      <w:tr>
        <w:tblPrEx/>
        <w:trPr>
          <w:cantSplit/>
          <w:trHeight w:val="49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bCs/>
                <w:sz w:val="18"/>
              </w:rPr>
            </w:pPr>
          </w:p>
        </w:tc>
        <w:tc>
          <w:tcPr>
            <w:tcW w:w="1418" w:type="dxa"/>
            <w:vMerge w:val="restart"/>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基本通用能力</w:t>
            </w:r>
          </w:p>
        </w:tc>
        <w:tc>
          <w:tcPr>
            <w:tcW w:w="1701" w:type="dxa"/>
            <w:tcBorders/>
            <w:vAlign w:val="center"/>
          </w:tcPr>
          <w:p>
            <w:pPr>
              <w:pStyle w:val="style0"/>
              <w:spacing w:lineRule="exact" w:line="240"/>
              <w:jc w:val="center"/>
              <w:rPr>
                <w:rFonts w:ascii="Times New Roman" w:cs="宋体" w:eastAsia="宋体" w:hAnsi="Times New Roman"/>
                <w:bCs/>
                <w:sz w:val="18"/>
              </w:rPr>
            </w:pPr>
            <w:r>
              <w:rPr>
                <w:rFonts w:ascii="Times New Roman" w:cs="宋体" w:eastAsia="宋体" w:hAnsi="Times New Roman" w:hint="eastAsia"/>
                <w:bCs/>
                <w:sz w:val="18"/>
              </w:rPr>
              <w:t>自我学习管理能力、安全意识和防范能力</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sz w:val="18"/>
              </w:rPr>
              <w:t>军事训练与军事理论、</w:t>
            </w:r>
            <w:r>
              <w:rPr>
                <w:rFonts w:ascii="Times New Roman" w:cs="宋体" w:eastAsia="宋体" w:hAnsi="Times New Roman" w:hint="eastAsia"/>
                <w:bCs/>
                <w:kern w:val="0"/>
                <w:sz w:val="18"/>
                <w:szCs w:val="18"/>
              </w:rPr>
              <w:t>职业生涯规划</w:t>
            </w:r>
            <w:r>
              <w:rPr>
                <w:rFonts w:ascii="Times New Roman" w:cs="宋体" w:eastAsia="宋体" w:hAnsi="Times New Roman" w:hint="eastAsia"/>
                <w:bCs/>
                <w:sz w:val="18"/>
              </w:rPr>
              <w:t>、大学生心理健康教育、、大学生安全教育、大学生健康教育；围绕提高自我学习管理能力的相关活动等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数字运用能力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sz w:val="18"/>
              </w:rPr>
              <w:t>实用大学数学、信息技术、数学建模比赛等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信息处理能力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sz w:val="18"/>
              </w:rPr>
              <w:t>信息技术、电子与信息大类职业技能竞赛、信息素养类选修课等</w:t>
            </w:r>
          </w:p>
        </w:tc>
      </w:tr>
      <w:tr>
        <w:tblPrEx/>
        <w:trPr>
          <w:cantSplit/>
          <w:trHeight w:val="216"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中文外语能力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sz w:val="18"/>
              </w:rPr>
              <w:t>综合英语、美育类选修课等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restart"/>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关键社会能力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交流沟通能力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sz w:val="18"/>
              </w:rPr>
              <w:t>大学生心理健康教育、大学生创新创业基础、创新创业实践、学院和系（部）相关活动、技能竞赛节、通用职业能力大赛等</w:t>
            </w:r>
          </w:p>
        </w:tc>
      </w:tr>
      <w:tr>
        <w:tblPrEx/>
        <w:trPr>
          <w:cantSplit/>
          <w:trHeight w:val="20"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团队合作能力</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sz w:val="18"/>
              </w:rPr>
              <w:t>大学生创新创业基础、创新创业实践、体育与健康、学院和系（部）相关活动、技能竞赛节、通用职业能力大赛等</w:t>
            </w:r>
          </w:p>
        </w:tc>
      </w:tr>
      <w:tr>
        <w:tblPrEx/>
        <w:trPr>
          <w:cantSplit/>
          <w:trHeight w:val="1045"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社会责任能力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bCs/>
                <w:sz w:val="18"/>
              </w:rPr>
              <w:t>军事训练与军事理论、</w:t>
            </w:r>
            <w:r>
              <w:rPr>
                <w:rFonts w:ascii="Times New Roman" w:cs="宋体" w:eastAsia="宋体" w:hAnsi="Times New Roman" w:hint="eastAsia"/>
                <w:sz w:val="18"/>
              </w:rPr>
              <w:t>思想道德与法治、毛泽东思想和中国特色社会主义理论体系概论、习近平新时代中国特色社会主义思想概论、形势与政策、劳动教育、学院和系（部）相关活动等</w:t>
            </w:r>
          </w:p>
        </w:tc>
      </w:tr>
      <w:tr>
        <w:tblPrEx/>
        <w:trPr>
          <w:cantSplit/>
          <w:trHeight w:val="223"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社会认知能力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bCs/>
                <w:sz w:val="18"/>
              </w:rPr>
              <w:t>思想道德与法治</w:t>
            </w:r>
            <w:r>
              <w:rPr>
                <w:rFonts w:ascii="Times New Roman" w:cs="宋体" w:eastAsia="宋体" w:hAnsi="Times New Roman" w:hint="eastAsia"/>
                <w:bCs/>
                <w:sz w:val="18"/>
                <w:szCs w:val="18"/>
              </w:rPr>
              <w:t>、</w:t>
            </w:r>
            <w:r>
              <w:rPr>
                <w:rFonts w:ascii="Times New Roman" w:cs="宋体" w:eastAsia="宋体" w:hAnsi="Times New Roman" w:hint="eastAsia"/>
                <w:kern w:val="0"/>
                <w:sz w:val="18"/>
                <w:szCs w:val="18"/>
              </w:rPr>
              <w:t>毛泽东思想和中国特色社会主义理论体系概论、</w:t>
            </w:r>
            <w:r>
              <w:rPr>
                <w:rFonts w:ascii="Times New Roman" w:cs="宋体" w:eastAsia="宋体" w:hAnsi="Times New Roman" w:hint="eastAsia"/>
                <w:sz w:val="18"/>
              </w:rPr>
              <w:t>习近平新时代中国特色社会主义思想概论、</w:t>
            </w:r>
            <w:r>
              <w:rPr>
                <w:rFonts w:ascii="Times New Roman" w:cs="宋体" w:eastAsia="宋体" w:hAnsi="Times New Roman" w:hint="eastAsia"/>
                <w:kern w:val="0"/>
                <w:sz w:val="18"/>
                <w:szCs w:val="18"/>
              </w:rPr>
              <w:t>形势与政策、劳动教育、</w:t>
            </w:r>
            <w:r>
              <w:rPr>
                <w:rFonts w:ascii="Times New Roman" w:cs="宋体" w:eastAsia="宋体" w:hAnsi="Times New Roman" w:hint="eastAsia"/>
                <w:sz w:val="18"/>
              </w:rPr>
              <w:t>大学生创新创业基础、创新创业实践、学院和系（部）相关活动等</w:t>
            </w:r>
          </w:p>
        </w:tc>
      </w:tr>
      <w:tr>
        <w:tblPrEx/>
        <w:trPr>
          <w:cantSplit/>
          <w:trHeight w:val="223"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创新创业能力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良好的创新精神、创造性思维、创业实践</w:t>
            </w:r>
          </w:p>
        </w:tc>
        <w:tc>
          <w:tcPr>
            <w:tcW w:w="5115" w:type="dxa"/>
            <w:tcBorders/>
            <w:vAlign w:val="center"/>
          </w:tcPr>
          <w:p>
            <w:pPr>
              <w:pStyle w:val="style0"/>
              <w:spacing w:lineRule="exact" w:line="240"/>
              <w:jc w:val="left"/>
              <w:rPr>
                <w:rFonts w:ascii="Times New Roman" w:cs="宋体" w:eastAsia="宋体" w:hAnsi="Times New Roman"/>
                <w:bCs/>
                <w:sz w:val="18"/>
              </w:rPr>
            </w:pPr>
            <w:r>
              <w:rPr>
                <w:rFonts w:ascii="Times New Roman" w:cs="宋体" w:eastAsia="宋体" w:hAnsi="Times New Roman" w:hint="eastAsia"/>
                <w:bCs/>
                <w:kern w:val="0"/>
                <w:sz w:val="18"/>
                <w:szCs w:val="18"/>
              </w:rPr>
              <w:t>职业生涯规划、</w:t>
            </w:r>
            <w:r>
              <w:rPr>
                <w:rFonts w:ascii="Times New Roman" w:cs="宋体" w:eastAsia="宋体" w:hAnsi="Times New Roman" w:hint="eastAsia"/>
                <w:sz w:val="18"/>
              </w:rPr>
              <w:t>大学生创新创业基础、创新创业实践、学院和系（部）相关活动、技能竞赛节、通用职业能力大赛</w:t>
            </w:r>
            <w:r>
              <w:rPr>
                <w:rFonts w:ascii="Times New Roman" w:cs="宋体" w:eastAsia="宋体" w:hAnsi="Times New Roman" w:hint="eastAsia"/>
                <w:kern w:val="0"/>
                <w:sz w:val="18"/>
                <w:szCs w:val="18"/>
              </w:rPr>
              <w:t>等</w:t>
            </w:r>
          </w:p>
        </w:tc>
      </w:tr>
      <w:tr>
        <w:tblPrEx/>
        <w:trPr>
          <w:cantSplit/>
          <w:trHeight w:val="474"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tcBorders/>
            <w:vAlign w:val="center"/>
          </w:tcPr>
          <w:p>
            <w:pPr>
              <w:pStyle w:val="style0"/>
              <w:spacing w:lineRule="exact" w:line="240"/>
              <w:ind w:firstLine="180" w:firstLineChars="100"/>
              <w:rPr>
                <w:rFonts w:ascii="Times New Roman" w:cs="宋体" w:eastAsia="宋体" w:hAnsi="Times New Roman"/>
                <w:sz w:val="18"/>
              </w:rPr>
            </w:pPr>
            <w:r>
              <w:rPr>
                <w:rFonts w:ascii="Times New Roman" w:cs="宋体" w:eastAsia="宋体" w:hAnsi="Times New Roman" w:hint="eastAsia"/>
                <w:sz w:val="18"/>
              </w:rPr>
              <w:t>工匠精神</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敬业、精益、专注等方面的能力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bCs/>
                <w:kern w:val="0"/>
                <w:sz w:val="18"/>
                <w:szCs w:val="18"/>
              </w:rPr>
              <w:t>劳动教育、职业生涯规划、</w:t>
            </w:r>
            <w:r>
              <w:rPr>
                <w:rFonts w:ascii="Times New Roman" w:cs="宋体" w:eastAsia="宋体" w:hAnsi="Times New Roman" w:hint="eastAsia"/>
                <w:sz w:val="18"/>
              </w:rPr>
              <w:t>大学生创新创业基础、创新创业实践、公共选修课、技能竞赛节、通用职业能力大赛、学院和系（部）相关活动等</w:t>
            </w:r>
          </w:p>
        </w:tc>
      </w:tr>
      <w:tr>
        <w:tblPrEx/>
        <w:trPr>
          <w:cantSplit/>
          <w:trHeight w:val="474"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tcBorders/>
            <w:vAlign w:val="center"/>
          </w:tcPr>
          <w:p>
            <w:pPr>
              <w:pStyle w:val="style0"/>
              <w:spacing w:lineRule="exact" w:line="240"/>
              <w:ind w:firstLine="180" w:firstLineChars="100"/>
              <w:rPr>
                <w:rFonts w:ascii="Times New Roman" w:cs="宋体" w:eastAsia="宋体" w:hAnsi="Times New Roman"/>
                <w:sz w:val="18"/>
              </w:rPr>
            </w:pPr>
            <w:r>
              <w:rPr>
                <w:rFonts w:ascii="Times New Roman" w:cs="宋体" w:eastAsia="宋体" w:hAnsi="Times New Roman" w:hint="eastAsia"/>
                <w:sz w:val="18"/>
              </w:rPr>
              <w:t>劳动素养</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树立正确的劳动观念，培养热爱劳动、艰苦奋斗的优良品质</w:t>
            </w:r>
          </w:p>
        </w:tc>
        <w:tc>
          <w:tcPr>
            <w:tcW w:w="5115" w:type="dxa"/>
            <w:tcBorders/>
            <w:vAlign w:val="center"/>
          </w:tcPr>
          <w:p>
            <w:pPr>
              <w:pStyle w:val="style0"/>
              <w:spacing w:lineRule="exact" w:line="240"/>
              <w:jc w:val="left"/>
              <w:rPr>
                <w:rFonts w:ascii="Times New Roman" w:cs="宋体" w:eastAsia="宋体" w:hAnsi="Times New Roman"/>
                <w:sz w:val="18"/>
              </w:rPr>
            </w:pPr>
            <w:r>
              <w:rPr>
                <w:rFonts w:ascii="Times New Roman" w:cs="宋体" w:eastAsia="宋体" w:hAnsi="Times New Roman" w:hint="eastAsia"/>
                <w:sz w:val="18"/>
              </w:rPr>
              <w:t>劳动教育、五粮文化育人学思践悟、学院和系（部）相关活动等</w:t>
            </w:r>
          </w:p>
        </w:tc>
      </w:tr>
      <w:tr>
        <w:tblPrEx/>
        <w:trPr>
          <w:cantSplit/>
          <w:trHeight w:val="78" w:hRule="atLeast"/>
          <w:jc w:val="center"/>
        </w:trPr>
        <w:tc>
          <w:tcPr>
            <w:tcW w:w="998" w:type="dxa"/>
            <w:vMerge w:val="restart"/>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专业职业能力和素质</w:t>
            </w:r>
          </w:p>
        </w:tc>
        <w:tc>
          <w:tcPr>
            <w:tcW w:w="1418" w:type="dxa"/>
            <w:vMerge w:val="restart"/>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各岗位共性基础能力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软件行业基础能力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计算机网络技术、人工智能应用技术</w:t>
            </w:r>
          </w:p>
        </w:tc>
      </w:tr>
      <w:tr>
        <w:tblPrEx/>
        <w:trPr>
          <w:cantSplit/>
          <w:trHeight w:val="78" w:hRule="atLeast"/>
          <w:jc w:val="center"/>
        </w:trPr>
        <w:tc>
          <w:tcPr>
            <w:tcW w:w="998" w:type="dxa"/>
            <w:vMerge w:val="continue"/>
            <w:tcBorders/>
            <w:vAlign w:val="center"/>
          </w:tcPr>
          <w:p>
            <w:pPr>
              <w:pStyle w:val="style0"/>
              <w:spacing w:lineRule="exact" w:line="240"/>
              <w:jc w:val="center"/>
              <w:rPr/>
            </w:pPr>
          </w:p>
        </w:tc>
        <w:tc>
          <w:tcPr>
            <w:tcW w:w="1418" w:type="dxa"/>
            <w:vMerge w:val="continue"/>
            <w:tcBorders/>
            <w:vAlign w:val="center"/>
          </w:tcPr>
          <w:p>
            <w:pPr>
              <w:pStyle w:val="style0"/>
              <w:spacing w:lineRule="exact" w:line="240"/>
              <w:jc w:val="center"/>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软件项目实施能力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计算机网络技术、软件测试入门、数据库技术（SQL  Server 、MySQL)、使用JSP/Servlet/Ajax技术开发B/S系统、Linux操作系统</w:t>
            </w:r>
          </w:p>
        </w:tc>
      </w:tr>
      <w:tr>
        <w:tblPrEx/>
        <w:trPr>
          <w:cantSplit/>
          <w:trHeight w:val="78"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宋体" w:eastAsia="宋体" w:hAnsi="宋体"/>
                <w:sz w:val="18"/>
              </w:rPr>
            </w:pPr>
            <w:r>
              <w:rPr>
                <w:rFonts w:ascii="宋体" w:eastAsia="宋体" w:hAnsi="宋体" w:hint="eastAsia"/>
                <w:sz w:val="18"/>
              </w:rPr>
              <w:t>设计静态网页能力</w:t>
            </w:r>
          </w:p>
          <w:p>
            <w:pPr>
              <w:pStyle w:val="style0"/>
              <w:spacing w:lineRule="exact" w:line="240"/>
              <w:jc w:val="center"/>
              <w:rPr>
                <w:rFonts w:ascii="Times New Roman" w:cs="宋体" w:eastAsia="宋体" w:hAnsi="Times New Roman"/>
                <w:sz w:val="18"/>
              </w:rPr>
            </w:pP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网页设计与制作、JavaScript脚本技术、使用JavaScript增强网页交互效果、Web前端基础</w:t>
            </w:r>
          </w:p>
        </w:tc>
      </w:tr>
      <w:tr>
        <w:tblPrEx/>
        <w:trPr>
          <w:cantSplit/>
          <w:trHeight w:val="78"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程序语言设计与开发能力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Java程序设计、Java面向对象编程、Python程序设计</w:t>
            </w:r>
          </w:p>
        </w:tc>
      </w:tr>
      <w:tr>
        <w:tblPrEx/>
        <w:trPr>
          <w:cantSplit/>
          <w:trHeight w:val="78"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数据库技术应用能力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数据库技术（SQL  Server 、MySQL)</w:t>
            </w:r>
          </w:p>
        </w:tc>
      </w:tr>
      <w:tr>
        <w:tblPrEx/>
        <w:trPr>
          <w:cantSplit/>
          <w:trHeight w:val="78"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设计开发</w:t>
            </w:r>
            <w:r>
              <w:rPr>
                <w:rFonts w:ascii="宋体" w:eastAsia="宋体" w:hAnsi="宋体"/>
                <w:sz w:val="18"/>
              </w:rPr>
              <w:t>B/S架构应用层软件能力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使用JSP/Servlet/Ajax技术开发B/S系统(Servlet、JSTL、Tomcat、JDBC、Ajax相关技术)</w:t>
            </w:r>
          </w:p>
        </w:tc>
      </w:tr>
      <w:tr>
        <w:tblPrEx/>
        <w:trPr>
          <w:cantSplit/>
          <w:trHeight w:val="117"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restart"/>
            <w:tcBorders/>
            <w:vAlign w:val="center"/>
          </w:tcPr>
          <w:p>
            <w:pPr>
              <w:pStyle w:val="style0"/>
              <w:spacing w:lineRule="exact" w:line="240"/>
              <w:jc w:val="center"/>
              <w:rPr>
                <w:rFonts w:ascii="Times New Roman" w:cs="宋体" w:eastAsia="宋体" w:hAnsi="Times New Roman"/>
                <w:sz w:val="18"/>
              </w:rPr>
            </w:pPr>
            <w:r>
              <w:rPr>
                <w:rFonts w:ascii="Times New Roman" w:cs="宋体" w:eastAsia="宋体" w:hAnsi="Times New Roman" w:hint="eastAsia"/>
                <w:sz w:val="18"/>
              </w:rPr>
              <w:t>软件设计和开发进阶能力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应用轻量级框架技术能力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eastAsia="宋体" w:hAnsi="宋体" w:hint="eastAsia"/>
                <w:sz w:val="18"/>
                <w:szCs w:val="18"/>
              </w:rPr>
              <w:t>企业级框架开发</w:t>
            </w:r>
          </w:p>
        </w:tc>
      </w:tr>
      <w:tr>
        <w:tblPrEx/>
        <w:trPr>
          <w:cantSplit/>
          <w:trHeight w:val="117" w:hRule="atLeast"/>
          <w:jc w:val="center"/>
        </w:trPr>
        <w:tc>
          <w:tcPr>
            <w:tcW w:w="998" w:type="dxa"/>
            <w:vMerge w:val="continue"/>
            <w:tcBorders/>
            <w:vAlign w:val="center"/>
          </w:tcPr>
          <w:p>
            <w:pPr>
              <w:pStyle w:val="style0"/>
              <w:spacing w:lineRule="exact" w:line="240"/>
              <w:jc w:val="center"/>
              <w:rPr/>
            </w:pPr>
          </w:p>
        </w:tc>
        <w:tc>
          <w:tcPr>
            <w:tcW w:w="1418" w:type="dxa"/>
            <w:vMerge w:val="continue"/>
            <w:tcBorders/>
            <w:vAlign w:val="center"/>
          </w:tcPr>
          <w:p>
            <w:pPr>
              <w:pStyle w:val="style0"/>
              <w:spacing w:lineRule="exact" w:line="240"/>
              <w:jc w:val="center"/>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sz w:val="18"/>
              </w:rPr>
              <w:t>Web应用程序开发综合能力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eastAsia="宋体" w:hAnsi="宋体" w:hint="eastAsia"/>
                <w:sz w:val="18"/>
                <w:szCs w:val="18"/>
              </w:rPr>
              <w:t>企业级框架开发</w:t>
            </w:r>
            <w:r>
              <w:rPr>
                <w:rFonts w:ascii="宋体" w:cs="宋体" w:eastAsia="宋体" w:hAnsi="宋体" w:hint="eastAsia"/>
                <w:sz w:val="18"/>
                <w:szCs w:val="18"/>
              </w:rPr>
              <w:t>、</w:t>
            </w:r>
            <w:r>
              <w:rPr>
                <w:rFonts w:ascii="宋体" w:eastAsia="宋体" w:hAnsi="宋体" w:hint="eastAsia"/>
                <w:sz w:val="18"/>
                <w:szCs w:val="18"/>
              </w:rPr>
              <w:t>企业级框架开发实训</w:t>
            </w:r>
          </w:p>
        </w:tc>
      </w:tr>
      <w:tr>
        <w:tblPrEx/>
        <w:trPr>
          <w:cantSplit/>
          <w:trHeight w:val="117"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企业级应用程序开发综合能力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eastAsia="宋体" w:hAnsi="宋体" w:hint="eastAsia"/>
                <w:sz w:val="18"/>
                <w:szCs w:val="18"/>
              </w:rPr>
              <w:t>微信小程序、区块链应用开发、企业级框架开发</w:t>
            </w:r>
            <w:r>
              <w:rPr>
                <w:rFonts w:ascii="宋体" w:cs="宋体" w:eastAsia="宋体" w:hAnsi="宋体" w:hint="eastAsia"/>
                <w:sz w:val="18"/>
                <w:szCs w:val="18"/>
              </w:rPr>
              <w:t>、</w:t>
            </w:r>
            <w:r>
              <w:rPr>
                <w:rFonts w:ascii="宋体" w:eastAsia="宋体" w:hAnsi="宋体" w:hint="eastAsia"/>
                <w:sz w:val="18"/>
                <w:szCs w:val="18"/>
              </w:rPr>
              <w:t>企业级框架开发实训</w:t>
            </w:r>
          </w:p>
        </w:tc>
      </w:tr>
      <w:tr>
        <w:tblPrEx/>
        <w:trPr>
          <w:cantSplit/>
          <w:trHeight w:val="117"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continue"/>
            <w:tcBorders/>
            <w:vAlign w:val="center"/>
          </w:tcPr>
          <w:p>
            <w:pPr>
              <w:pStyle w:val="style0"/>
              <w:spacing w:lineRule="exact" w:line="240"/>
              <w:jc w:val="center"/>
              <w:rPr>
                <w:rFonts w:ascii="Times New Roman" w:cs="宋体" w:eastAsia="宋体" w:hAnsi="Times New Roman"/>
                <w:sz w:val="18"/>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鸿蒙应用</w:t>
            </w:r>
            <w:r>
              <w:rPr>
                <w:rFonts w:ascii="宋体" w:eastAsia="宋体" w:hAnsi="宋体"/>
                <w:sz w:val="18"/>
              </w:rPr>
              <w:t>开发能力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移动应用开发</w:t>
            </w:r>
          </w:p>
        </w:tc>
      </w:tr>
      <w:tr>
        <w:tblPrEx/>
        <w:trPr>
          <w:cantSplit/>
          <w:trHeight w:val="123"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vMerge w:val="restart"/>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网站前端设计和开发进阶能力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网站前端全栈项目开发能力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J</w:t>
            </w:r>
            <w:r>
              <w:rPr>
                <w:rFonts w:ascii="宋体" w:cs="宋体" w:eastAsia="宋体" w:hAnsi="宋体"/>
                <w:sz w:val="18"/>
                <w:szCs w:val="18"/>
              </w:rPr>
              <w:t>S函数集开发</w:t>
            </w:r>
          </w:p>
        </w:tc>
      </w:tr>
      <w:tr>
        <w:tblPrEx/>
        <w:trPr>
          <w:cantSplit/>
          <w:trHeight w:val="123" w:hRule="atLeast"/>
          <w:jc w:val="center"/>
        </w:trPr>
        <w:tc>
          <w:tcPr>
            <w:tcW w:w="998" w:type="dxa"/>
            <w:vMerge w:val="continue"/>
            <w:tcBorders/>
            <w:vAlign w:val="center"/>
          </w:tcPr>
          <w:p>
            <w:pPr>
              <w:pStyle w:val="style0"/>
              <w:spacing w:lineRule="exact" w:line="240"/>
              <w:jc w:val="center"/>
              <w:rPr/>
            </w:pPr>
          </w:p>
        </w:tc>
        <w:tc>
          <w:tcPr>
            <w:tcW w:w="1418" w:type="dxa"/>
            <w:vMerge w:val="continue"/>
            <w:tcBorders/>
            <w:vAlign w:val="center"/>
          </w:tcPr>
          <w:p>
            <w:pPr>
              <w:pStyle w:val="style0"/>
              <w:spacing w:lineRule="exact" w:line="240"/>
              <w:jc w:val="center"/>
              <w:rPr/>
            </w:pP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移动端项目开发能力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kern w:val="0"/>
                <w:sz w:val="18"/>
                <w:szCs w:val="18"/>
              </w:rPr>
              <w:t>微信小程序、</w:t>
            </w:r>
            <w:r>
              <w:rPr>
                <w:rFonts w:ascii="宋体" w:eastAsia="宋体" w:hAnsi="宋体" w:hint="eastAsia"/>
                <w:kern w:val="0"/>
                <w:sz w:val="18"/>
                <w:szCs w:val="18"/>
              </w:rPr>
              <w:t>企业级框架MVVM</w:t>
            </w:r>
          </w:p>
        </w:tc>
      </w:tr>
      <w:tr>
        <w:tblPrEx/>
        <w:trPr>
          <w:cantSplit/>
          <w:trHeight w:val="256" w:hRule="atLeast"/>
          <w:jc w:val="center"/>
        </w:trPr>
        <w:tc>
          <w:tcPr>
            <w:tcW w:w="998" w:type="dxa"/>
            <w:vMerge w:val="continue"/>
            <w:tcBorders/>
            <w:vAlign w:val="center"/>
          </w:tcPr>
          <w:p>
            <w:pPr>
              <w:pStyle w:val="style0"/>
              <w:spacing w:lineRule="exact" w:line="240"/>
              <w:jc w:val="center"/>
              <w:rPr>
                <w:rFonts w:ascii="Times New Roman" w:cs="宋体" w:eastAsia="宋体" w:hAnsi="Times New Roman"/>
                <w:sz w:val="18"/>
              </w:rPr>
            </w:pPr>
          </w:p>
        </w:tc>
        <w:tc>
          <w:tcPr>
            <w:tcW w:w="1418"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软件测试能力</w:t>
            </w:r>
          </w:p>
        </w:tc>
        <w:tc>
          <w:tcPr>
            <w:tcW w:w="1701" w:type="dxa"/>
            <w:tcBorders/>
            <w:vAlign w:val="center"/>
          </w:tcPr>
          <w:p>
            <w:pPr>
              <w:pStyle w:val="style0"/>
              <w:spacing w:lineRule="exact" w:line="240"/>
              <w:jc w:val="center"/>
              <w:rPr>
                <w:rFonts w:ascii="Times New Roman" w:cs="宋体" w:eastAsia="宋体" w:hAnsi="Times New Roman"/>
                <w:sz w:val="18"/>
              </w:rPr>
            </w:pPr>
            <w:r>
              <w:rPr>
                <w:rFonts w:ascii="宋体" w:eastAsia="宋体" w:hAnsi="宋体" w:hint="eastAsia"/>
                <w:sz w:val="18"/>
              </w:rPr>
              <w:t>软件调试和测试能力</w:t>
            </w:r>
          </w:p>
        </w:tc>
        <w:tc>
          <w:tcPr>
            <w:tcW w:w="5115" w:type="dxa"/>
            <w:tcBorders/>
            <w:vAlign w:val="center"/>
          </w:tcPr>
          <w:p>
            <w:pPr>
              <w:pStyle w:val="style0"/>
              <w:spacing w:lineRule="exact" w:line="240"/>
              <w:jc w:val="left"/>
              <w:rPr>
                <w:rFonts w:ascii="Times New Roman" w:cs="宋体" w:eastAsia="宋体" w:hAnsi="Times New Roman"/>
                <w:sz w:val="18"/>
              </w:rPr>
            </w:pPr>
            <w:r>
              <w:rPr>
                <w:rFonts w:ascii="宋体" w:cs="宋体" w:eastAsia="宋体" w:hAnsi="宋体" w:hint="eastAsia"/>
                <w:sz w:val="18"/>
                <w:szCs w:val="18"/>
              </w:rPr>
              <w:t>Java程序设计、Java面向对象编程、软件测试入门</w:t>
            </w:r>
          </w:p>
        </w:tc>
      </w:tr>
    </w:tbl>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六</w:t>
      </w:r>
      <w:r>
        <w:rPr>
          <w:rFonts w:ascii="Times New Roman" w:eastAsia="宋体" w:hAnsi="Times New Roman"/>
          <w:b/>
          <w:sz w:val="24"/>
        </w:rPr>
        <w:t>、</w:t>
      </w:r>
      <w:r>
        <w:rPr>
          <w:rFonts w:ascii="Times New Roman" w:eastAsia="宋体" w:hAnsi="Times New Roman" w:hint="eastAsia"/>
          <w:b/>
          <w:sz w:val="24"/>
        </w:rPr>
        <w:t>课程设置及时间安排</w:t>
      </w:r>
    </w:p>
    <w:p>
      <w:pPr>
        <w:pStyle w:val="style0"/>
        <w:numPr>
          <w:ilvl w:val="0"/>
          <w:numId w:val="3"/>
        </w:numPr>
        <w:spacing w:lineRule="exact" w:line="360"/>
        <w:ind w:firstLine="420"/>
        <w:rPr>
          <w:rFonts w:ascii="Times New Roman" w:eastAsia="宋体" w:hAnsi="Times New Roman"/>
        </w:rPr>
      </w:pPr>
      <w:r>
        <w:rPr>
          <w:rFonts w:ascii="Times New Roman" w:eastAsia="宋体" w:hAnsi="Times New Roman" w:hint="eastAsia"/>
        </w:rPr>
        <w:t>通用职业能力素养课程说明</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1.军事理论（5102031110）（36学时）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2.军事训练（5102031140）（112学时）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3.思想道德与法治（</w:t>
      </w:r>
      <w:r>
        <w:rPr>
          <w:rFonts w:ascii="Times New Roman" w:cs="宋体" w:eastAsia="宋体" w:hAnsi="Times New Roman" w:hint="eastAsia"/>
        </w:rPr>
        <w:t>510203</w:t>
      </w:r>
      <w:r>
        <w:rPr>
          <w:rFonts w:ascii="Times New Roman" w:cs="宋体" w:eastAsia="宋体" w:hAnsi="Times New Roman" w:hint="eastAsia"/>
          <w:kern w:val="0"/>
          <w:szCs w:val="21"/>
        </w:rPr>
        <w:t>1141）（48学时）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本课程按照江西省问题式专题化团队式教学改革要求，采用理论讲授、情景体验、实践锻炼多种教学方法，增强教学的鲜活性、吸引力、感染力，提高教学的实效性和针对性。</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4.大学生心理健康教育（</w:t>
      </w:r>
      <w:r>
        <w:rPr>
          <w:rFonts w:ascii="Times New Roman" w:cs="宋体" w:eastAsia="宋体" w:hAnsi="Times New Roman" w:hint="eastAsia"/>
        </w:rPr>
        <w:t>510203</w:t>
      </w:r>
      <w:r>
        <w:rPr>
          <w:rFonts w:ascii="Times New Roman" w:cs="宋体" w:eastAsia="宋体" w:hAnsi="Times New Roman" w:hint="eastAsia"/>
          <w:kern w:val="0"/>
          <w:szCs w:val="21"/>
        </w:rPr>
        <w:t>1142）（32学时）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本课程采用理论讲授法、启发式教学、讨论式教学与案例教学、心理测试、课堂讨论、心理咨询、观看视频、情景模拟等多种教学方法和手段，提高学生分析问题和解决问题的能力。</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5</w:t>
      </w:r>
      <w:r>
        <w:rPr>
          <w:rFonts w:ascii="Times New Roman" w:cs="宋体" w:eastAsia="宋体" w:hAnsi="Times New Roman" w:hint="eastAsia"/>
          <w:szCs w:val="21"/>
        </w:rPr>
        <w:t>.</w:t>
      </w:r>
      <w:r>
        <w:rPr>
          <w:rFonts w:ascii="Times New Roman" w:cs="宋体" w:eastAsia="宋体" w:hAnsi="Times New Roman" w:hint="eastAsia"/>
          <w:kern w:val="0"/>
          <w:szCs w:val="21"/>
        </w:rPr>
        <w:t>大学生创新创业基础（</w:t>
      </w:r>
      <w:r>
        <w:rPr>
          <w:rFonts w:ascii="Times New Roman" w:cs="宋体" w:eastAsia="宋体" w:hAnsi="Times New Roman" w:hint="eastAsia"/>
        </w:rPr>
        <w:t>510203</w:t>
      </w:r>
      <w:r>
        <w:rPr>
          <w:rFonts w:ascii="Times New Roman" w:cs="宋体" w:eastAsia="宋体" w:hAnsi="Times New Roman" w:hint="eastAsia"/>
          <w:kern w:val="0"/>
          <w:szCs w:val="21"/>
        </w:rPr>
        <w:t>1143）（14学时）</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ascii="Times New Roman" w:cs="宋体" w:eastAsia="宋体" w:hAnsi="Times New Roman" w:hint="eastAsia"/>
          <w:kern w:val="0"/>
          <w:szCs w:val="21"/>
        </w:rPr>
        <w:t>教师应综合运用讲授、启发、任务驱动、问题讨论、综合练习、测试、案例分析等方式方法和现代多媒体、互联网等教学手段组织教学。</w:t>
      </w:r>
    </w:p>
    <w:p>
      <w:pPr>
        <w:pStyle w:val="style0"/>
        <w:spacing w:lineRule="exact" w:line="380"/>
        <w:ind w:firstLine="420"/>
        <w:rPr>
          <w:rFonts w:ascii="Times New Roman" w:cs="宋体" w:eastAsia="宋体" w:hAnsi="Times New Roman"/>
          <w:kern w:val="0"/>
          <w:szCs w:val="21"/>
          <w:u w:val="single"/>
        </w:rPr>
      </w:pPr>
      <w:r>
        <w:rPr>
          <w:rFonts w:ascii="Times New Roman" w:cs="宋体" w:eastAsia="宋体" w:hAnsi="Times New Roman" w:hint="eastAsia"/>
          <w:kern w:val="0"/>
          <w:szCs w:val="21"/>
        </w:rPr>
        <w:t>6.综合英语  （</w:t>
      </w:r>
      <w:r>
        <w:rPr>
          <w:rFonts w:ascii="Times New Roman" w:cs="宋体" w:eastAsia="宋体" w:hAnsi="Times New Roman" w:hint="eastAsia"/>
        </w:rPr>
        <w:t>510203</w:t>
      </w:r>
      <w:r>
        <w:rPr>
          <w:rFonts w:ascii="Times New Roman" w:cs="宋体" w:eastAsia="宋体" w:hAnsi="Times New Roman" w:hint="eastAsia"/>
          <w:kern w:val="0"/>
          <w:szCs w:val="21"/>
        </w:rPr>
        <w:t>1111）  （76学时）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7.形势与政策  （</w:t>
      </w:r>
      <w:r>
        <w:rPr>
          <w:rFonts w:ascii="Times New Roman" w:cs="宋体" w:eastAsia="宋体" w:hAnsi="Times New Roman" w:hint="eastAsia"/>
        </w:rPr>
        <w:t>510203</w:t>
      </w:r>
      <w:r>
        <w:rPr>
          <w:rFonts w:ascii="Times New Roman" w:cs="宋体" w:eastAsia="宋体" w:hAnsi="Times New Roman" w:hint="eastAsia"/>
          <w:kern w:val="0"/>
          <w:szCs w:val="21"/>
        </w:rPr>
        <w:t>1150） （32学时）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本课程按照教学内容专题学习，运用专题讲授、课堂讨论、观看视频、撰写学习报告及现代多媒体教学手段组织教学。</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8.大学生安全教育（</w:t>
      </w:r>
      <w:r>
        <w:rPr>
          <w:rFonts w:ascii="Times New Roman" w:cs="宋体" w:eastAsia="宋体" w:hAnsi="Times New Roman" w:hint="eastAsia"/>
        </w:rPr>
        <w:t>510203</w:t>
      </w:r>
      <w:r>
        <w:rPr>
          <w:rFonts w:ascii="Times New Roman" w:cs="宋体" w:eastAsia="宋体" w:hAnsi="Times New Roman" w:hint="eastAsia"/>
          <w:kern w:val="0"/>
          <w:szCs w:val="21"/>
        </w:rPr>
        <w:t>1151）（16学时）</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通过本课程教育，使大学生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9.体育与健康  （</w:t>
      </w:r>
      <w:r>
        <w:rPr>
          <w:rFonts w:ascii="Times New Roman" w:cs="宋体" w:eastAsia="宋体" w:hAnsi="Times New Roman" w:hint="eastAsia"/>
        </w:rPr>
        <w:t>510203</w:t>
      </w:r>
      <w:r>
        <w:rPr>
          <w:rFonts w:ascii="Times New Roman" w:cs="宋体" w:eastAsia="宋体" w:hAnsi="Times New Roman" w:hint="eastAsia"/>
          <w:kern w:val="0"/>
          <w:szCs w:val="21"/>
        </w:rPr>
        <w:t>1152） （118学时）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以身体练习为基本手段，以体育与健康知识、运动技能和锻炼方法为主要学习内容，以培育学生体育与健康核心素养、促进身心健康发展为主要目标，帮助其成为德智体美劳全面发展的高素质技能人才，从而对推动职业教育高质量发展，加快建设教育强国、人才强国、体育强国和深入开展健康中国行动产生重要作用。</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课程以立德树人为根本任务，坚持健康第一的教育理念，传授体育与健康知识和锻炼方法；提高运动技能水平，培养运动爱好和专长；发展职业体能和职业心理、社会适应；帮助学生在体育锻炼中享受乐趣，增强体质，健全人格，锤炼意志；引导学生自觉践行社会主义核心价值观，培养学生职业发展所需的综合素质和行动能力。</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10.实用大学数学（</w:t>
      </w:r>
      <w:r>
        <w:rPr>
          <w:rFonts w:ascii="Times New Roman" w:cs="宋体" w:eastAsia="宋体" w:hAnsi="Times New Roman" w:hint="eastAsia"/>
        </w:rPr>
        <w:t>510203</w:t>
      </w:r>
      <w:r>
        <w:rPr>
          <w:rFonts w:ascii="Times New Roman" w:cs="宋体" w:eastAsia="宋体" w:hAnsi="Times New Roman" w:hint="eastAsia"/>
          <w:kern w:val="0"/>
          <w:szCs w:val="21"/>
        </w:rPr>
        <w:t>1114）  （56课时）</w:t>
      </w:r>
    </w:p>
    <w:p>
      <w:pPr>
        <w:pStyle w:val="style0"/>
        <w:spacing w:lineRule="exact" w:line="380"/>
        <w:ind w:firstLine="420"/>
        <w:rPr>
          <w:rFonts w:ascii="Times New Roman" w:cs="宋体" w:eastAsia="宋体" w:hAnsi="Times New Roman"/>
          <w:szCs w:val="21"/>
        </w:rPr>
      </w:pPr>
      <w:r>
        <w:rPr>
          <w:rFonts w:ascii="Times New Roman" w:cs="宋体" w:eastAsia="宋体" w:hAnsi="Times New Roman" w:hint="eastAsia"/>
          <w:szCs w:val="21"/>
        </w:rPr>
        <w:t>本课程以中等职业学校和普通高中的数学课程为基础，与本科教育阶段的数学课程相衔接，是相关专业的公共基础必修课程。旨在促进学生数学核心素养的养成和发展，促使学生获得终身学习和职业发展所必需的数学知识、数学技术、数学方法、数学思想和数学活动经验，提高学生运用数学知识和方法发现与提出问题、分析与解决问题的能力。通过高等职业教育专科数学课程的学习，学生应达到本课程标准所设定的数学抽象、数学推理、数学建模、数学技术等数学核心素养的发展目标，学会用数学眼光观察世界、用数学思维分析世界、用数学语言表达世界，不断提高实践能力，提升创新意识，养成理性思维、严谨求实、敢于批判的科学精神和精益求精的工匠精神，加深对数学的科学价值、应用价值、文化价值和审美价值的体认。</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11.信息技术（</w:t>
      </w:r>
      <w:r>
        <w:rPr>
          <w:rFonts w:ascii="Times New Roman" w:cs="宋体" w:eastAsia="宋体" w:hAnsi="Times New Roman" w:hint="eastAsia"/>
        </w:rPr>
        <w:t>510203</w:t>
      </w:r>
      <w:r>
        <w:rPr>
          <w:rFonts w:ascii="Times New Roman" w:cs="宋体" w:eastAsia="宋体" w:hAnsi="Times New Roman" w:hint="eastAsia"/>
          <w:kern w:val="0"/>
          <w:szCs w:val="21"/>
        </w:rPr>
        <w:t>1144）  （60学时）</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 xml:space="preserve">本课程通过深入实际的项目化教学案例，介绍计算机的系统知识、计算机操作系统的基本应用、互联网的常见操作以及常用办公自动化软件的基本应用。通过对课程的学习，学生能够使用常用办公软件较好地完成文档的排版、表格的制作、文档的打印以及数据的分析与处理，并且能够熟练地制作演示文稿，学会合理地利用网络资源进行资料的收集和信息的处理。教师在授课过程中综合运用案例演示法、启发式教学、任务驱动法等方式，结合现代多媒体技术及信息化技术手段组织教学。 </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12.毛泽东思想和中国特色社会主义理论体系概论（</w:t>
      </w:r>
      <w:r>
        <w:rPr>
          <w:rFonts w:ascii="Times New Roman" w:cs="宋体" w:eastAsia="宋体" w:hAnsi="Times New Roman" w:hint="eastAsia"/>
        </w:rPr>
        <w:t>510203</w:t>
      </w:r>
      <w:r>
        <w:rPr>
          <w:rFonts w:ascii="Times New Roman" w:cs="宋体" w:eastAsia="宋体" w:hAnsi="Times New Roman" w:hint="eastAsia"/>
          <w:kern w:val="0"/>
          <w:szCs w:val="21"/>
        </w:rPr>
        <w:t>1145）（32学时）</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教师应综合运用讲授、情景模拟、实践教学、案例分析、启发式、任务驱动等方式方法和现代多媒体等教学手段组织教学。</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13.红色文化（</w:t>
      </w:r>
      <w:r>
        <w:rPr>
          <w:rFonts w:ascii="Times New Roman" w:cs="宋体" w:eastAsia="宋体" w:hAnsi="Times New Roman" w:hint="eastAsia"/>
        </w:rPr>
        <w:t>510203</w:t>
      </w:r>
      <w:r>
        <w:rPr>
          <w:rFonts w:ascii="Times New Roman" w:cs="宋体" w:eastAsia="宋体" w:hAnsi="Times New Roman" w:hint="eastAsia"/>
          <w:kern w:val="0"/>
          <w:szCs w:val="21"/>
        </w:rPr>
        <w:t>1146）（16学时）</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教师应综合运用讲授、情景模拟、实践教学、案例分析、启发式、任务驱动等方式方法和现代多媒体等教学手段组织教学。</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14.职业生涯规划（</w:t>
      </w:r>
      <w:r>
        <w:rPr>
          <w:rFonts w:ascii="Times New Roman" w:cs="宋体" w:eastAsia="宋体" w:hAnsi="Times New Roman" w:hint="eastAsia"/>
        </w:rPr>
        <w:t>510203</w:t>
      </w:r>
      <w:r>
        <w:rPr>
          <w:rFonts w:ascii="Times New Roman" w:cs="宋体" w:eastAsia="宋体" w:hAnsi="Times New Roman" w:hint="eastAsia"/>
          <w:kern w:val="0"/>
          <w:szCs w:val="21"/>
        </w:rPr>
        <w:t>1153）（16学时）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pStyle w:val="style0"/>
        <w:spacing w:lineRule="exact" w:line="380"/>
        <w:ind w:firstLine="420"/>
        <w:rPr>
          <w:rFonts w:ascii="Times New Roman" w:cs="宋体" w:eastAsia="宋体" w:hAnsi="Times New Roman"/>
          <w:szCs w:val="21"/>
        </w:rPr>
      </w:pPr>
      <w:r>
        <w:rPr>
          <w:rFonts w:ascii="Times New Roman" w:cs="宋体" w:eastAsia="宋体" w:hAnsi="Times New Roman" w:hint="eastAsia"/>
          <w:szCs w:val="21"/>
        </w:rPr>
        <w:t>15.五粮文化育人学思践悟（</w:t>
      </w:r>
      <w:r>
        <w:rPr>
          <w:rFonts w:ascii="Times New Roman" w:cs="宋体" w:eastAsia="宋体" w:hAnsi="Times New Roman" w:hint="eastAsia"/>
        </w:rPr>
        <w:t>510203</w:t>
      </w:r>
      <w:r>
        <w:rPr>
          <w:rFonts w:ascii="Times New Roman" w:cs="宋体" w:eastAsia="宋体" w:hAnsi="Times New Roman" w:hint="eastAsia"/>
          <w:kern w:val="0"/>
          <w:szCs w:val="21"/>
        </w:rPr>
        <w:t>1154</w:t>
      </w:r>
      <w:r>
        <w:rPr>
          <w:rFonts w:ascii="Times New Roman" w:cs="宋体" w:eastAsia="宋体" w:hAnsi="Times New Roman" w:hint="eastAsia"/>
          <w:szCs w:val="21"/>
        </w:rPr>
        <w:t>）（16学时）</w:t>
      </w:r>
    </w:p>
    <w:p>
      <w:pPr>
        <w:pStyle w:val="style0"/>
        <w:spacing w:lineRule="exact" w:line="38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16.习近平新时代中国特色社会主义思想概论（</w:t>
      </w:r>
      <w:r>
        <w:rPr>
          <w:rFonts w:ascii="Times New Roman" w:cs="宋体" w:eastAsia="宋体" w:hAnsi="Times New Roman" w:hint="eastAsia"/>
        </w:rPr>
        <w:t>510203</w:t>
      </w:r>
      <w:r>
        <w:rPr>
          <w:rFonts w:ascii="Times New Roman" w:cs="宋体" w:eastAsia="宋体" w:hAnsi="Times New Roman" w:hint="eastAsia"/>
          <w:kern w:val="0"/>
          <w:szCs w:val="21"/>
        </w:rPr>
        <w:t>1155）（48学时）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pPr>
        <w:pStyle w:val="style0"/>
        <w:spacing w:lineRule="exact" w:line="380"/>
        <w:ind w:firstLine="420"/>
        <w:rPr>
          <w:rFonts w:ascii="Times New Roman" w:cs="宋体" w:eastAsia="宋体" w:hAnsi="Times New Roman"/>
          <w:szCs w:val="21"/>
        </w:rPr>
      </w:pPr>
      <w:r>
        <w:rPr>
          <w:rFonts w:ascii="Times New Roman" w:cs="宋体" w:eastAsia="宋体" w:hAnsi="Times New Roman" w:hint="eastAsia"/>
          <w:kern w:val="0"/>
          <w:szCs w:val="21"/>
        </w:rPr>
        <w:t>采用理论讲授法、启发式教学、讨论式教学、视频教学与案例教学等多种教学方法和手段，提高学生分析问题和解决问题的能力；并结合社会实践，做到理论联系实际，提升学习效果。</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szCs w:val="21"/>
        </w:rPr>
        <w:t>17.大学生</w:t>
      </w:r>
      <w:r>
        <w:rPr>
          <w:rFonts w:ascii="Times New Roman" w:cs="宋体" w:eastAsia="宋体" w:hAnsi="Times New Roman" w:hint="eastAsia"/>
          <w:kern w:val="0"/>
          <w:szCs w:val="21"/>
        </w:rPr>
        <w:t>就业指导（</w:t>
      </w:r>
      <w:r>
        <w:rPr>
          <w:rFonts w:ascii="Times New Roman" w:cs="宋体" w:eastAsia="宋体" w:hAnsi="Times New Roman" w:hint="eastAsia"/>
        </w:rPr>
        <w:t>510203</w:t>
      </w:r>
      <w:r>
        <w:rPr>
          <w:rFonts w:ascii="Times New Roman" w:cs="宋体" w:eastAsia="宋体" w:hAnsi="Times New Roman" w:hint="eastAsia"/>
          <w:kern w:val="0"/>
          <w:szCs w:val="21"/>
        </w:rPr>
        <w:t>1156）（32学时）</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ascii="Times New Roman" w:cs="宋体" w:eastAsia="宋体" w:hAnsi="Times New Roman" w:hint="eastAsia"/>
          <w:kern w:val="0"/>
          <w:szCs w:val="21"/>
        </w:rPr>
        <w:t>教师应综合运用讲授、情景模拟、启发式、任务驱动、问题讨论、综合练习、案例分析等方式方法和现代多媒体、互联网等教学手段组织教学。</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18.劳动教育（</w:t>
      </w:r>
      <w:r>
        <w:rPr>
          <w:rFonts w:ascii="Times New Roman" w:cs="宋体" w:eastAsia="宋体" w:hAnsi="Times New Roman" w:hint="eastAsia"/>
        </w:rPr>
        <w:t>510203</w:t>
      </w:r>
      <w:r>
        <w:rPr>
          <w:rFonts w:ascii="Times New Roman" w:cs="宋体" w:eastAsia="宋体" w:hAnsi="Times New Roman" w:hint="eastAsia"/>
          <w:kern w:val="0"/>
          <w:szCs w:val="21"/>
        </w:rPr>
        <w:t>1160）（2学分）</w:t>
      </w:r>
    </w:p>
    <w:p>
      <w:pPr>
        <w:pStyle w:val="style0"/>
        <w:spacing w:lineRule="exact" w:line="380"/>
        <w:ind w:firstLine="420"/>
        <w:rPr>
          <w:rFonts w:ascii="Times New Roman" w:cs="宋体" w:eastAsia="宋体" w:hAnsi="Times New Roman"/>
        </w:rPr>
      </w:pPr>
      <w:r>
        <w:rPr>
          <w:rFonts w:ascii="Times New Roman" w:cs="宋体" w:eastAsia="宋体" w:hAnsi="Times New Roman" w:hint="eastAsia"/>
        </w:rPr>
        <w:t>劳动教育课应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19.大学生健康教育（</w:t>
      </w:r>
      <w:r>
        <w:rPr>
          <w:rFonts w:ascii="Times New Roman" w:cs="宋体" w:eastAsia="宋体" w:hAnsi="Times New Roman" w:hint="eastAsia"/>
        </w:rPr>
        <w:t>510203</w:t>
      </w:r>
      <w:r>
        <w:rPr>
          <w:rFonts w:ascii="Times New Roman" w:cs="宋体" w:eastAsia="宋体" w:hAnsi="Times New Roman" w:hint="eastAsia"/>
          <w:kern w:val="0"/>
          <w:szCs w:val="21"/>
        </w:rPr>
        <w:t>1147）（16学时）</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kern w:val="0"/>
          <w:szCs w:val="21"/>
        </w:rPr>
        <w:t>20.第二课堂学分（创新创业实践）（</w:t>
      </w:r>
      <w:r>
        <w:rPr>
          <w:rFonts w:ascii="Times New Roman" w:cs="宋体" w:eastAsia="宋体" w:hAnsi="Times New Roman" w:hint="eastAsia"/>
        </w:rPr>
        <w:t>510203</w:t>
      </w:r>
      <w:r>
        <w:rPr>
          <w:rFonts w:ascii="Times New Roman" w:cs="宋体" w:eastAsia="宋体" w:hAnsi="Times New Roman" w:hint="eastAsia"/>
          <w:kern w:val="0"/>
          <w:szCs w:val="21"/>
        </w:rPr>
        <w:t>1160）（2学分）</w:t>
      </w:r>
    </w:p>
    <w:p>
      <w:pPr>
        <w:pStyle w:val="style0"/>
        <w:spacing w:lineRule="exact" w:line="360"/>
        <w:ind w:firstLine="420"/>
        <w:rPr>
          <w:rFonts w:ascii="Times New Roman" w:cs="宋体" w:eastAsia="宋体" w:hAnsi="Times New Roman"/>
        </w:rPr>
      </w:pPr>
      <w:r>
        <w:rPr>
          <w:rFonts w:ascii="Times New Roman" w:cs="宋体" w:eastAsia="宋体" w:hAnsi="Times New Roman" w:hint="eastAsia"/>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r>
        <w:rPr>
          <w:rFonts w:ascii="Times New Roman" w:cs="宋体" w:eastAsia="宋体" w:hAnsi="Times New Roman" w:hint="eastAsia"/>
          <w:kern w:val="0"/>
          <w:szCs w:val="21"/>
        </w:rPr>
        <w:t>创新创业实践学分具体认定见《江西工业贸易职业技术学院创新创业学分认定及替换办法》。</w:t>
      </w:r>
    </w:p>
    <w:p>
      <w:pPr>
        <w:pStyle w:val="style0"/>
        <w:spacing w:lineRule="exact" w:line="360"/>
        <w:ind w:firstLine="420" w:firstLineChars="200"/>
        <w:rPr>
          <w:rFonts w:ascii="Times New Roman" w:cs="宋体" w:eastAsia="宋体" w:hAnsi="Times New Roman"/>
          <w:kern w:val="0"/>
          <w:szCs w:val="21"/>
        </w:rPr>
      </w:pPr>
      <w:r>
        <w:rPr>
          <w:rFonts w:ascii="Times New Roman" w:cs="宋体" w:eastAsia="宋体" w:hAnsi="Times New Roman" w:hint="eastAsia"/>
          <w:kern w:val="0"/>
          <w:szCs w:val="21"/>
        </w:rPr>
        <w:t>21.第二课堂学分（其他）（</w:t>
      </w:r>
      <w:r>
        <w:rPr>
          <w:rFonts w:ascii="Times New Roman" w:cs="宋体" w:eastAsia="宋体" w:hAnsi="Times New Roman" w:hint="eastAsia"/>
        </w:rPr>
        <w:t>510203</w:t>
      </w:r>
      <w:r>
        <w:rPr>
          <w:rFonts w:ascii="Times New Roman" w:cs="宋体" w:eastAsia="宋体" w:hAnsi="Times New Roman" w:hint="eastAsia"/>
          <w:kern w:val="0"/>
          <w:szCs w:val="21"/>
        </w:rPr>
        <w:t>1162）（2学分）</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2个第二课堂学分。第五学期10月份进行统计，毕业放入学生档案袋。</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22.人文素养类课程（9999991550）（30学时）</w:t>
      </w:r>
    </w:p>
    <w:p>
      <w:pPr>
        <w:pStyle w:val="style0"/>
        <w:spacing w:lineRule="exact" w:line="380"/>
        <w:ind w:firstLine="420"/>
        <w:rPr>
          <w:rFonts w:ascii="Times New Roman" w:cs="宋体" w:eastAsia="宋体" w:hAnsi="Times New Roman"/>
        </w:rPr>
      </w:pPr>
      <w:r>
        <w:rPr>
          <w:rFonts w:ascii="Times New Roman" w:cs="宋体" w:eastAsia="宋体" w:hAnsi="Times New Roman" w:hint="eastAsia"/>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23.创新创业管理课程（9999991551）（30学时）</w:t>
      </w:r>
    </w:p>
    <w:p>
      <w:pPr>
        <w:pStyle w:val="style0"/>
        <w:spacing w:lineRule="exact" w:line="380"/>
        <w:ind w:firstLine="420"/>
        <w:rPr>
          <w:rFonts w:ascii="Times New Roman" w:cs="宋体" w:eastAsia="宋体" w:hAnsi="Times New Roman"/>
        </w:rPr>
      </w:pPr>
      <w:r>
        <w:rPr>
          <w:rFonts w:ascii="Times New Roman" w:cs="宋体" w:eastAsia="宋体" w:hAnsi="Times New Roman" w:hint="eastAsia"/>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pStyle w:val="style0"/>
        <w:spacing w:lineRule="exact" w:line="360"/>
        <w:ind w:firstLine="420"/>
        <w:rPr>
          <w:rFonts w:ascii="Times New Roman" w:cs="宋体" w:eastAsia="宋体" w:hAnsi="Times New Roman"/>
          <w:kern w:val="0"/>
          <w:szCs w:val="21"/>
        </w:rPr>
      </w:pPr>
      <w:r>
        <w:rPr>
          <w:rFonts w:ascii="Times New Roman" w:cs="宋体" w:eastAsia="宋体" w:hAnsi="Times New Roman" w:hint="eastAsia"/>
          <w:kern w:val="0"/>
          <w:szCs w:val="21"/>
        </w:rPr>
        <w:t xml:space="preserve">24.科学素养类课程（9999991552）（30学时） </w:t>
      </w:r>
    </w:p>
    <w:p>
      <w:pPr>
        <w:pStyle w:val="style0"/>
        <w:spacing w:lineRule="exact" w:line="380"/>
        <w:ind w:firstLine="420"/>
        <w:rPr>
          <w:rFonts w:ascii="Times New Roman" w:cs="宋体" w:eastAsia="宋体" w:hAnsi="Times New Roman"/>
        </w:rPr>
      </w:pPr>
      <w:r>
        <w:rPr>
          <w:rFonts w:ascii="Times New Roman" w:cs="宋体" w:eastAsia="宋体" w:hAnsi="Times New Roman" w:hint="eastAsia"/>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pStyle w:val="style0"/>
        <w:spacing w:lineRule="exact" w:line="360"/>
        <w:ind w:firstLine="420"/>
        <w:rPr>
          <w:rFonts w:ascii="Times New Roman" w:cs="宋体" w:eastAsia="宋体" w:hAnsi="Times New Roman"/>
          <w:szCs w:val="21"/>
        </w:rPr>
      </w:pPr>
      <w:r>
        <w:rPr>
          <w:rFonts w:ascii="Times New Roman" w:cs="宋体" w:eastAsia="宋体" w:hAnsi="Times New Roman" w:hint="eastAsia"/>
          <w:szCs w:val="21"/>
        </w:rPr>
        <w:t>25.信息素养类课程（9999991553）</w:t>
      </w:r>
      <w:r>
        <w:rPr>
          <w:rFonts w:ascii="Times New Roman" w:cs="宋体" w:eastAsia="宋体" w:hAnsi="Times New Roman" w:hint="eastAsia"/>
          <w:kern w:val="0"/>
          <w:szCs w:val="21"/>
        </w:rPr>
        <w:t>（30学时）</w:t>
      </w:r>
    </w:p>
    <w:p>
      <w:pPr>
        <w:pStyle w:val="style0"/>
        <w:spacing w:lineRule="exact" w:line="380"/>
        <w:ind w:firstLine="420"/>
        <w:rPr>
          <w:rFonts w:ascii="Times New Roman" w:cs="宋体" w:eastAsia="宋体" w:hAnsi="Times New Roman"/>
        </w:rPr>
      </w:pPr>
      <w:r>
        <w:rPr>
          <w:rFonts w:ascii="Times New Roman" w:cs="宋体" w:eastAsia="宋体" w:hAnsi="Times New Roman" w:hint="eastAsia"/>
        </w:rPr>
        <w:t>本课程信息素养类选修课程。信息素养是信息时代大学生的基本素养，是个体生存于信息社会的关键能力与必备修养。信息素养继承了信息化时代普通公民信息素养的核心观点和理念，同时还充分结合学生特有的理想信念、道德情操、知识探索、终身学习等要求，以及学习场景的现实需要，已然成为新时代大学生的必备素养。随着信息素养内涵的不断丰富和发展，大学生的信息素养也从最初关注学生的信息技术应用能力，逐步发展到以信息技术应用能力为核心要素的综合素养。</w:t>
      </w:r>
    </w:p>
    <w:p>
      <w:pPr>
        <w:pStyle w:val="style0"/>
        <w:spacing w:lineRule="exact" w:line="360"/>
        <w:ind w:firstLine="420"/>
        <w:rPr>
          <w:rFonts w:ascii="Times New Roman" w:cs="宋体" w:eastAsia="宋体" w:hAnsi="Times New Roman"/>
        </w:rPr>
      </w:pPr>
      <w:r>
        <w:rPr>
          <w:rFonts w:ascii="Times New Roman" w:cs="宋体" w:eastAsia="宋体" w:hAnsi="Times New Roman" w:hint="eastAsia"/>
          <w:kern w:val="0"/>
          <w:szCs w:val="21"/>
        </w:rPr>
        <w:t>26.</w:t>
      </w:r>
      <w:r>
        <w:rPr>
          <w:rFonts w:ascii="Times New Roman" w:cs="宋体" w:eastAsia="宋体" w:hAnsi="Times New Roman" w:hint="eastAsia"/>
          <w:szCs w:val="21"/>
        </w:rPr>
        <w:t>美育类课程（9999991560）（72学时）</w:t>
      </w:r>
    </w:p>
    <w:bookmarkStart w:id="5" w:name="_Hlk74206913"/>
    <w:p>
      <w:pPr>
        <w:pStyle w:val="style0"/>
        <w:spacing w:lineRule="exact" w:line="380"/>
        <w:ind w:firstLine="420"/>
        <w:rPr>
          <w:rFonts w:ascii="Times New Roman" w:cs="宋体" w:eastAsia="宋体" w:hAnsi="Times New Roman"/>
          <w:kern w:val="0"/>
          <w:szCs w:val="21"/>
        </w:rPr>
      </w:pPr>
      <w:r>
        <w:rPr>
          <w:rFonts w:ascii="Times New Roman" w:cs="宋体" w:eastAsia="宋体" w:hAnsi="Times New Roman" w:hint="eastAsia"/>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Fonts w:ascii="Times New Roman" w:cs="宋体" w:eastAsia="宋体" w:hAnsi="Times New Roman" w:hint="eastAsia"/>
          <w:kern w:val="0"/>
          <w:szCs w:val="21"/>
        </w:rPr>
        <w:t>，教师应综合运用讲授、启发、情景模拟、案例分析、任务驱动、问题讨论、实践观摩等方式方法和现代多媒体、互联网等教学手段组织教学。</w:t>
      </w:r>
      <w:bookmarkEnd w:id="5"/>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（二）专业课程说明</w:t>
      </w:r>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专业群内专业：</w:t>
      </w:r>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1.平台共享课程</w:t>
      </w:r>
    </w:p>
    <w:p>
      <w:pPr>
        <w:pStyle w:val="style0"/>
        <w:spacing w:lineRule="exact" w:line="360"/>
        <w:ind w:firstLine="420" w:firstLineChars="200"/>
        <w:rPr>
          <w:rFonts w:ascii="仿宋_GB2312" w:eastAsia="仿宋_GB2312"/>
          <w:color w:val="000000"/>
          <w:szCs w:val="21"/>
        </w:rPr>
      </w:pPr>
      <w:r>
        <w:rPr>
          <w:rFonts w:ascii="仿宋_GB2312" w:eastAsia="仿宋_GB2312" w:hint="eastAsia"/>
          <w:color w:val="000000"/>
          <w:szCs w:val="21"/>
        </w:rPr>
        <w:t>（1）</w:t>
      </w:r>
      <w:r>
        <w:rPr>
          <w:rFonts w:ascii="宋体" w:cs="宋体" w:eastAsia="宋体" w:hAnsi="宋体" w:hint="eastAsia"/>
          <w:sz w:val="18"/>
          <w:szCs w:val="18"/>
        </w:rPr>
        <w:t>计算机网络技术</w:t>
      </w:r>
      <w:r>
        <w:rPr>
          <w:rFonts w:ascii="仿宋_GB2312" w:eastAsia="仿宋_GB2312" w:hint="eastAsia"/>
          <w:color w:val="000000"/>
          <w:szCs w:val="21"/>
        </w:rPr>
        <w:t>（510203122</w:t>
      </w:r>
      <w:r>
        <w:rPr>
          <w:rFonts w:ascii="仿宋_GB2312" w:eastAsia="仿宋_GB2312"/>
          <w:color w:val="000000"/>
          <w:szCs w:val="21"/>
        </w:rPr>
        <w:t>9</w:t>
      </w:r>
      <w:r>
        <w:rPr>
          <w:rFonts w:ascii="仿宋_GB2312" w:eastAsia="仿宋_GB2312" w:hint="eastAsia"/>
          <w:color w:val="000000"/>
          <w:szCs w:val="21"/>
        </w:rPr>
        <w:t>） （68学时）</w:t>
      </w:r>
    </w:p>
    <w:p>
      <w:pPr>
        <w:pStyle w:val="style0"/>
        <w:spacing w:lineRule="exact" w:line="380"/>
        <w:ind w:firstLine="420"/>
        <w:rPr>
          <w:rFonts w:ascii="Times New Roman" w:cs="Times New Roman" w:eastAsia="宋体" w:hAnsi="Times New Roman"/>
        </w:rPr>
      </w:pPr>
      <w:r>
        <w:rPr>
          <w:rFonts w:ascii="Times New Roman" w:cs="Times New Roman" w:eastAsia="宋体" w:hAnsi="Times New Roman" w:hint="eastAsia"/>
        </w:rPr>
        <w:t>本课程主要学习组网技术的功能、分类及网络拓扑结构，二层、三层交换机的概念，IP地址划分，操作系统安装与应用、无线组网等。通过课程学习，学生熟悉网络工程各种组网技术，网络类型及网络拓扑结构；掌握网络基础知识、网络协议、IP划分、操作系统安装及管理系统软件安装等；具有利用网络常用命令进行网络查询与测试的能力。通过学习，在施工员的指导下培养学生掌握网络安全工程系统组建，管理系统安装、测试及维护职业素养，培养学生在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pStyle w:val="style0"/>
        <w:spacing w:lineRule="exact" w:line="360"/>
        <w:ind w:firstLine="420" w:firstLineChars="200"/>
        <w:rPr>
          <w:rFonts w:ascii="仿宋" w:cs="仿宋" w:eastAsia="仿宋" w:hAnsi="仿宋"/>
          <w:color w:val="000000"/>
          <w:szCs w:val="21"/>
        </w:rPr>
      </w:pPr>
      <w:r>
        <w:rPr>
          <w:rFonts w:ascii="仿宋_GB2312" w:eastAsia="仿宋_GB2312" w:hint="eastAsia"/>
          <w:color w:val="000000"/>
          <w:szCs w:val="21"/>
        </w:rPr>
        <w:t>（</w:t>
      </w:r>
      <w:r>
        <w:rPr>
          <w:rFonts w:ascii="仿宋_GB2312" w:eastAsia="仿宋_GB2312"/>
          <w:color w:val="000000"/>
          <w:szCs w:val="21"/>
        </w:rPr>
        <w:t>2</w:t>
      </w:r>
      <w:r>
        <w:rPr>
          <w:rFonts w:ascii="仿宋_GB2312" w:eastAsia="仿宋_GB2312" w:hint="eastAsia"/>
          <w:color w:val="000000"/>
          <w:szCs w:val="21"/>
        </w:rPr>
        <w:t>）Python程序设计（N510203123</w:t>
      </w:r>
      <w:r>
        <w:rPr>
          <w:rFonts w:ascii="仿宋_GB2312" w:eastAsia="仿宋_GB2312"/>
          <w:color w:val="000000"/>
          <w:szCs w:val="21"/>
        </w:rPr>
        <w:t>6</w:t>
      </w:r>
      <w:r>
        <w:rPr>
          <w:rFonts w:ascii="仿宋_GB2312" w:eastAsia="仿宋_GB2312" w:hint="eastAsia"/>
          <w:color w:val="000000"/>
          <w:szCs w:val="21"/>
        </w:rPr>
        <w:t>） （</w:t>
      </w:r>
      <w:r>
        <w:rPr>
          <w:rFonts w:ascii="仿宋_GB2312" w:eastAsia="仿宋_GB2312"/>
          <w:color w:val="000000"/>
          <w:szCs w:val="21"/>
        </w:rPr>
        <w:t>56</w:t>
      </w:r>
      <w:r>
        <w:rPr>
          <w:rFonts w:ascii="仿宋_GB2312" w:eastAsia="仿宋_GB2312" w:hint="eastAsia"/>
          <w:color w:val="000000"/>
          <w:szCs w:val="21"/>
        </w:rPr>
        <w:t>学时）</w:t>
      </w:r>
    </w:p>
    <w:p>
      <w:pPr>
        <w:pStyle w:val="style0"/>
        <w:spacing w:lineRule="exact" w:line="360"/>
        <w:ind w:firstLine="420" w:firstLineChars="200"/>
        <w:rPr>
          <w:rFonts w:ascii="宋体" w:cs="宋体" w:eastAsia="宋体" w:hAnsi="Times New Roman"/>
          <w:color w:val="000000"/>
          <w:kern w:val="0"/>
          <w:szCs w:val="21"/>
        </w:rPr>
      </w:pPr>
      <w:r>
        <w:rPr>
          <w:rFonts w:ascii="宋体" w:cs="宋体" w:eastAsia="宋体" w:hAnsi="宋体"/>
          <w:color w:val="000000"/>
          <w:szCs w:val="21"/>
        </w:rPr>
        <w:t>本课程</w:t>
      </w:r>
      <w:r>
        <w:rPr>
          <w:rFonts w:ascii="宋体" w:cs="宋体" w:eastAsia="宋体" w:hAnsi="宋体" w:hint="eastAsia"/>
          <w:color w:val="000000"/>
          <w:szCs w:val="21"/>
        </w:rPr>
        <w:t>在信息安全</w:t>
      </w:r>
      <w:r>
        <w:rPr>
          <w:rFonts w:ascii="宋体" w:cs="Times New Roman" w:eastAsia="宋体" w:hAnsi="宋体" w:hint="eastAsia"/>
          <w:szCs w:val="21"/>
        </w:rPr>
        <w:t>技术应用</w:t>
      </w:r>
      <w:r>
        <w:rPr>
          <w:rFonts w:ascii="宋体" w:cs="宋体" w:eastAsia="宋体" w:hAnsi="宋体" w:hint="eastAsia"/>
          <w:color w:val="000000"/>
          <w:szCs w:val="21"/>
        </w:rPr>
        <w:t>专业群的培养计划中占有重要地位，主要讲授</w:t>
      </w:r>
      <w:r>
        <w:rPr>
          <w:rFonts w:ascii="宋体" w:cs="宋体" w:eastAsia="宋体" w:hAnsi="宋体"/>
          <w:color w:val="000000"/>
          <w:szCs w:val="21"/>
        </w:rPr>
        <w:t>P</w:t>
      </w:r>
      <w:r>
        <w:rPr>
          <w:rFonts w:ascii="宋体" w:cs="宋体" w:eastAsia="宋体" w:hAnsi="宋体" w:hint="eastAsia"/>
          <w:color w:val="000000"/>
          <w:szCs w:val="21"/>
        </w:rPr>
        <w:t>ython程序设计语言的基本要素，了解</w:t>
      </w:r>
      <w:r>
        <w:rPr>
          <w:rFonts w:ascii="宋体" w:cs="宋体" w:eastAsia="宋体" w:hAnsi="宋体"/>
          <w:color w:val="000000"/>
          <w:szCs w:val="21"/>
        </w:rPr>
        <w:t>Python</w:t>
      </w:r>
      <w:r>
        <w:rPr>
          <w:rFonts w:ascii="宋体" w:cs="宋体" w:eastAsia="宋体" w:hAnsi="宋体" w:hint="eastAsia"/>
          <w:color w:val="000000"/>
          <w:szCs w:val="21"/>
        </w:rPr>
        <w:t>语言程序设计的基本知识，掌握程序设计的基本方法，掌握程序设计的基本理论、方法和应用，掌握高级程序设计标准，，养成严格遵守和执行有关国家标准的各项规定的良好习惯。通过课程学习，使学生具备能够较正确而熟练地使用</w:t>
      </w:r>
      <w:r>
        <w:rPr>
          <w:rFonts w:ascii="宋体" w:cs="宋体" w:eastAsia="宋体" w:hAnsi="宋体"/>
          <w:color w:val="000000"/>
          <w:szCs w:val="21"/>
        </w:rPr>
        <w:t>Python</w:t>
      </w:r>
      <w:r>
        <w:rPr>
          <w:rFonts w:ascii="宋体" w:cs="宋体" w:eastAsia="宋体" w:hAnsi="宋体" w:hint="eastAsia"/>
          <w:color w:val="000000"/>
          <w:szCs w:val="21"/>
        </w:rPr>
        <w:t>进行程序的设计；能够识读和编写较复杂的程序；能够使用</w:t>
      </w:r>
      <w:r>
        <w:rPr>
          <w:rFonts w:ascii="宋体" w:cs="宋体" w:eastAsia="宋体" w:hAnsi="宋体"/>
          <w:color w:val="000000"/>
          <w:szCs w:val="21"/>
        </w:rPr>
        <w:t>Python</w:t>
      </w:r>
      <w:r>
        <w:rPr>
          <w:rFonts w:ascii="宋体" w:cs="宋体" w:eastAsia="宋体" w:hAnsi="宋体" w:hint="eastAsia"/>
          <w:color w:val="000000"/>
          <w:szCs w:val="21"/>
        </w:rPr>
        <w:t>解决实际应用问题；具备一定的知识探究和反思能力及创新意识；具备自主学习能力和团队协作意识，</w:t>
      </w:r>
      <w:r>
        <w:rPr>
          <w:rFonts w:ascii="宋体" w:cs="宋体" w:eastAsia="宋体" w:hAnsi="宋体"/>
          <w:color w:val="000000"/>
          <w:szCs w:val="21"/>
        </w:rPr>
        <w:t>为后续专业课程的学习打下理论和实践基础</w:t>
      </w:r>
      <w:r>
        <w:rPr>
          <w:rFonts w:ascii="宋体" w:cs="宋体" w:eastAsia="宋体" w:hAnsi="宋体" w:hint="eastAsia"/>
          <w:color w:val="000000"/>
          <w:szCs w:val="21"/>
        </w:rPr>
        <w:t>。</w:t>
      </w:r>
      <w:r>
        <w:rPr>
          <w:rFonts w:ascii="宋体" w:cs="宋体" w:eastAsia="宋体" w:hAnsi="Times New Roman" w:hint="eastAsia"/>
          <w:color w:val="000000"/>
          <w:szCs w:val="21"/>
        </w:rPr>
        <w:t>校企师傅应充分挖掘该课程领域知识点融入社会主义核心价值观、将思想政治教育融入人才培养全过程，塑造具有严谨、精益求精的工匠品质。采取讲授、问题讨论、案例分析等教学方法</w:t>
      </w:r>
      <w:r>
        <w:rPr>
          <w:rFonts w:ascii="宋体" w:cs="宋体" w:eastAsia="宋体" w:hAnsi="Times New Roman" w:hint="eastAsia"/>
          <w:color w:val="000000"/>
          <w:kern w:val="0"/>
          <w:szCs w:val="21"/>
        </w:rPr>
        <w:t>、结合企业实际组织教学。</w:t>
      </w:r>
    </w:p>
    <w:p>
      <w:pPr>
        <w:pStyle w:val="style0"/>
        <w:spacing w:lineRule="exact" w:line="360"/>
        <w:ind w:firstLine="420" w:firstLineChars="200"/>
        <w:rPr>
          <w:rFonts w:ascii="仿宋" w:cs="Times New Roman" w:eastAsia="仿宋" w:hAnsi="Times New Roman"/>
          <w:color w:val="ff0000"/>
        </w:rPr>
      </w:pPr>
      <w:r>
        <w:rPr>
          <w:rFonts w:ascii="仿宋_GB2312" w:eastAsia="仿宋_GB2312" w:hint="eastAsia"/>
          <w:color w:val="000000"/>
          <w:szCs w:val="21"/>
        </w:rPr>
        <w:t>（3）数据库技术（5102031213） （68学时）</w:t>
      </w:r>
    </w:p>
    <w:p>
      <w:pPr>
        <w:pStyle w:val="style0"/>
        <w:spacing w:lineRule="exact" w:line="360"/>
        <w:ind w:firstLine="420" w:firstLineChars="200"/>
        <w:rPr>
          <w:rFonts w:ascii="宋体" w:cs="宋体" w:eastAsia="宋体" w:hAnsi="宋体"/>
          <w:color w:val="000000"/>
        </w:rPr>
      </w:pPr>
      <w:r>
        <w:rPr>
          <w:rFonts w:ascii="宋体" w:cs="宋体" w:eastAsia="宋体" w:hAnsi="宋体" w:hint="eastAsia"/>
          <w:color w:val="000000"/>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软件售后数据库操作，系统平台分析、运行保障与日常维护的能力；培养学生系统平台维护的职业素养。</w:t>
      </w:r>
    </w:p>
    <w:p>
      <w:pPr>
        <w:pStyle w:val="style0"/>
        <w:spacing w:lineRule="exact" w:line="360"/>
        <w:ind w:firstLine="420" w:firstLineChars="200"/>
        <w:rPr>
          <w:rFonts w:ascii="仿宋" w:cs="仿宋" w:eastAsia="仿宋" w:hAnsi="仿宋"/>
          <w:color w:val="000000"/>
          <w:szCs w:val="21"/>
        </w:rPr>
      </w:pPr>
      <w:r>
        <w:rPr>
          <w:rFonts w:ascii="宋体" w:cs="宋体" w:eastAsia="宋体" w:hAnsi="宋体" w:hint="eastAsia"/>
          <w:color w:val="000000"/>
        </w:rPr>
        <w:t>教师授课过程要注重创设教育情境，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pPr>
        <w:pStyle w:val="style0"/>
        <w:spacing w:lineRule="exact" w:line="360"/>
        <w:ind w:firstLine="420" w:firstLineChars="200"/>
        <w:rPr>
          <w:rFonts w:ascii="仿宋" w:cs="Times New Roman" w:eastAsia="仿宋" w:hAnsi="楷体"/>
          <w:color w:val="000000"/>
        </w:rPr>
      </w:pPr>
      <w:r>
        <w:rPr>
          <w:rFonts w:ascii="仿宋_GB2312" w:eastAsia="仿宋_GB2312" w:hint="eastAsia"/>
          <w:color w:val="000000"/>
          <w:szCs w:val="21"/>
        </w:rPr>
        <w:t>（4）Linux操作系统（5102031222）（68学时）</w:t>
      </w:r>
    </w:p>
    <w:p>
      <w:pPr>
        <w:pStyle w:val="style0"/>
        <w:spacing w:lineRule="exact" w:line="360"/>
        <w:ind w:firstLine="420" w:firstLineChars="200"/>
        <w:rPr>
          <w:rFonts w:ascii="宋体" w:eastAsia="宋体" w:hAnsi="宋体"/>
        </w:rPr>
      </w:pPr>
      <w:r>
        <w:rPr>
          <w:rFonts w:ascii="宋体" w:cs="宋体" w:eastAsia="宋体" w:hAnsi="宋体" w:hint="eastAsia"/>
          <w:color w:val="000000"/>
          <w:szCs w:val="21"/>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2.特色分立课程</w:t>
      </w:r>
    </w:p>
    <w:p>
      <w:pPr>
        <w:pStyle w:val="style0"/>
        <w:spacing w:lineRule="exact" w:line="360"/>
        <w:ind w:firstLine="420" w:firstLineChars="200"/>
        <w:rPr>
          <w:rFonts w:ascii="宋体" w:eastAsia="宋体" w:hAnsi="宋体"/>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w:t>
      </w:r>
      <w:r>
        <w:rPr>
          <w:rFonts w:ascii="仿宋_GB2312" w:eastAsia="仿宋_GB2312"/>
          <w:color w:val="000000"/>
          <w:szCs w:val="21"/>
        </w:rPr>
        <w:t>JAVA程序设计（</w:t>
      </w:r>
      <w:r>
        <w:rPr>
          <w:rFonts w:ascii="仿宋_GB2312" w:eastAsia="仿宋_GB2312" w:hint="eastAsia"/>
          <w:color w:val="000000"/>
          <w:szCs w:val="21"/>
        </w:rPr>
        <w:t>5102031210</w:t>
      </w:r>
      <w:r>
        <w:rPr>
          <w:rFonts w:ascii="仿宋_GB2312" w:eastAsia="仿宋_GB2312"/>
          <w:color w:val="000000"/>
          <w:szCs w:val="21"/>
        </w:rPr>
        <w:t>） （</w:t>
      </w:r>
      <w:r>
        <w:rPr>
          <w:rFonts w:ascii="仿宋_GB2312" w:eastAsia="仿宋_GB2312" w:hint="eastAsia"/>
          <w:color w:val="000000"/>
          <w:szCs w:val="21"/>
        </w:rPr>
        <w:t>56</w:t>
      </w:r>
      <w:r>
        <w:rPr>
          <w:rFonts w:ascii="仿宋_GB2312" w:eastAsia="仿宋_GB2312"/>
          <w:color w:val="000000"/>
          <w:szCs w:val="21"/>
        </w:rPr>
        <w:t>学时）</w:t>
      </w:r>
    </w:p>
    <w:p>
      <w:pPr>
        <w:pStyle w:val="style0"/>
        <w:spacing w:lineRule="exact" w:line="360"/>
        <w:ind w:firstLine="420" w:firstLineChars="200"/>
        <w:rPr>
          <w:rFonts w:ascii="宋体" w:eastAsia="宋体" w:hAnsi="宋体"/>
          <w:szCs w:val="21"/>
        </w:rPr>
      </w:pPr>
      <w:r>
        <w:rPr>
          <w:rFonts w:ascii="宋体" w:eastAsia="宋体" w:hAnsi="宋体" w:hint="eastAsia"/>
          <w:szCs w:val="21"/>
        </w:rPr>
        <w:t>本课程为本专业的一门专业基础课，主要讲授</w:t>
      </w:r>
      <w:r>
        <w:rPr>
          <w:rFonts w:ascii="宋体" w:eastAsia="宋体" w:hAnsi="宋体"/>
          <w:szCs w:val="21"/>
        </w:rPr>
        <w:t>Java基本语言语法，抽象、封装、继承等面向对象特性以及Eclipse开发工具的使用，并通过以上技能的学习培养学生的工匠精神。通过课程的学习，培养学生的工匠精神和规范化、标准化的代码编写习惯、需求理解能力、复用性，模块化思维能力、文档习惯、代码测试能力、学习和总结的能力，团队精神和协作能力；教师应充分挖掘该课程领域知识点融入社会主义核心价值观、将思想政治教育融入人才培养全过程，塑造具有严谨、精益求精的工匠品质。通过学习，使学生具备良好的程序设计思想，对简单的终端系统</w:t>
      </w:r>
      <w:r>
        <w:rPr>
          <w:rFonts w:ascii="宋体" w:eastAsia="宋体" w:hAnsi="宋体" w:hint="eastAsia"/>
          <w:szCs w:val="21"/>
        </w:rPr>
        <w:t>能进行二次开发或修改的能力，学生能完成售后中的系统集成、售前的外部厂商、研发团队等协调工作。教师应采取讲授、问题讨论、案例分析等教学方法和现代多媒体等教学手段组织教学。</w:t>
      </w:r>
    </w:p>
    <w:p>
      <w:pPr>
        <w:pStyle w:val="style0"/>
        <w:spacing w:lineRule="exact" w:line="360"/>
        <w:ind w:firstLine="420" w:firstLineChars="200"/>
        <w:rPr>
          <w:rFonts w:ascii="宋体" w:eastAsia="宋体" w:hAnsi="宋体"/>
          <w:szCs w:val="21"/>
        </w:rPr>
      </w:pPr>
      <w:r>
        <w:rPr>
          <w:rFonts w:ascii="宋体" w:eastAsia="宋体" w:hAnsi="宋体" w:hint="eastAsia"/>
          <w:szCs w:val="21"/>
        </w:rPr>
        <w:t>通过学习，引导学生在知识结构上更好地实现与企业真实需求的对接，从而有效提高其就业竞争优势，紧跟社会发展需要，体现新技术、新设备、新工艺，以就业为导向，遵循技能人才成长和职业发展规律，根据应用系统程序开发需要掌握</w:t>
      </w:r>
      <w:r>
        <w:rPr>
          <w:rFonts w:ascii="宋体" w:eastAsia="宋体" w:hAnsi="宋体"/>
          <w:szCs w:val="21"/>
        </w:rPr>
        <w:t>JAVA以及面向对象编程思想，具备良好的程序设计思想，对简单的终端系统能进行二次开发或修改的能力，收集、处理需求分析的职业能力，具备</w:t>
      </w:r>
      <w:r>
        <w:rPr>
          <w:rFonts w:ascii="宋体" w:eastAsia="宋体" w:hAnsi="宋体" w:hint="eastAsia"/>
          <w:szCs w:val="21"/>
        </w:rPr>
        <w:t>系统</w:t>
      </w:r>
      <w:r>
        <w:rPr>
          <w:rFonts w:ascii="宋体" w:eastAsia="宋体" w:hAnsi="宋体"/>
          <w:szCs w:val="21"/>
        </w:rPr>
        <w:t>售后数据库操作，系统平台分析、运行保障与日常维护的能力；学生能完成售后中的系统集成、售前的外部厂商、研发团队等协调工作。</w:t>
      </w:r>
    </w:p>
    <w:p>
      <w:pPr>
        <w:pStyle w:val="style0"/>
        <w:spacing w:lineRule="exact" w:line="360"/>
        <w:ind w:firstLine="420" w:firstLineChars="200"/>
        <w:rPr>
          <w:rFonts w:ascii="仿宋_GB2312" w:eastAsia="仿宋_GB2312"/>
          <w:color w:val="000000"/>
          <w:szCs w:val="21"/>
        </w:rPr>
      </w:pPr>
      <w:r>
        <w:rPr>
          <w:rFonts w:ascii="仿宋_GB2312" w:cs="Times New Roman" w:eastAsia="仿宋_GB2312" w:hAnsi="Times New Roman" w:hint="eastAsia"/>
          <w:szCs w:val="21"/>
        </w:rPr>
        <w:t>（2）使用JavaScript增强网页交互效果</w:t>
      </w:r>
      <w:r>
        <w:rPr>
          <w:rFonts w:ascii="仿宋_GB2312" w:eastAsia="仿宋_GB2312" w:hint="eastAsia"/>
          <w:color w:val="000000"/>
          <w:szCs w:val="21"/>
        </w:rPr>
        <w:t>（N5102031211）（</w:t>
      </w:r>
      <w:r>
        <w:rPr>
          <w:rFonts w:ascii="仿宋_GB2312" w:eastAsia="仿宋_GB2312"/>
          <w:color w:val="000000"/>
          <w:szCs w:val="21"/>
        </w:rPr>
        <w:t>56</w:t>
      </w:r>
      <w:r>
        <w:rPr>
          <w:rFonts w:ascii="仿宋_GB2312" w:eastAsia="仿宋_GB2312" w:hint="eastAsia"/>
          <w:color w:val="000000"/>
          <w:szCs w:val="21"/>
        </w:rPr>
        <w:t>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主要讲授JavaScript的概念和基本语法、DOM模型框架、网页中的事件、表格表单、JavaScript的调试与优化、浏览器对象、JQuery框架、JQuery中使用选择器、DOM开发，JQuery操作DOM、操作CSS等内容。学习完成后能使用JavaScript脚本技术制作特定的网页效果，通过生动的网页动态效果，激发学生的创新性，勇于动手实践的能力。教师应综合运用讲授、启发、问题讨论、综合练习、融教、学、做为一体的项目教学法和案例教学法等方式方法和现代多媒体、互联网等教学手段组织教学。通过本课程的学习，可以培养和提高学生的逻辑思维能力和制作交互式网页的基本职业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（3）Java面向对象编程（N5102031212）（80学时）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本课程主要讲授Java 的面向对象程序设计及高级语言特性，数据库的连接及操作，图形界面程序设计，线程，以及三层架构应用程序设计。学习完成后能开发小型应用系统或游戏程序，培养学生良好的逻辑思维习惯，探索创新精神，遇到难题，能自行查找资料解决问题的能力。教师在教学过程中，随时将学生实训和课后兴趣小组活动中遇到的问题记录下来，经过整理、提炼，揉入教学活动中（一般是在下次授课时有针对性地给学生以提醒和强调）。对于学生上交的实验和作业需进行存档，并选择有代表性的作品进行对比分析。通过这种“现身说法”的教学方法，同学们对共性问题的认识能力、自主分析能力和学习积极性都大为提高，知识的巩固率得以增强。通过本课程的学习，可以培养和提高学生的逻辑思维能力和面向对象小型应用系统设计的基本职业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（4）使用JSP/Servlet/Ajax技术开发B/S系统（N5102031223）（136学时）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主要讲授Web程序的体系结构、Jsp运行环境、Jsp基本语法、JSP的7个元素、6个内置对象、Servlet的编写与使用、Ajax技术在网络编程中的应用、MVC模式简介等技术。学习完成后能开发微型Jsp应用系统，并通过项目展示培养学生语言表达，勇于展示自我能力，树立自信心。教师教学中采用项目教学法、案例教学法，注重“教、学、做”一体化。利用电子演示文稿、大屏幕多媒体联机演示、网络教学等各种先进的教学手段，应用部分以综合项目设计和开发为主线，最后形成一个具体实用项目的整个开发过程。考核方法多种形式并用：平时表现、笔试考核、作品展示。作品展示是考核重点，它能检查学生的实际设计和开发能力，检验学生的知识面以</w:t>
      </w:r>
      <w:r>
        <w:rPr>
          <w:rFonts w:ascii="宋体" w:eastAsia="宋体" w:hAnsi="宋体" w:hint="eastAsia"/>
        </w:rPr>
        <w:t>及分析问题和解决问题的综合能力。</w:t>
      </w:r>
      <w:r>
        <w:rPr>
          <w:rFonts w:ascii="宋体" w:cs="宋体" w:eastAsia="宋体" w:hAnsi="宋体" w:hint="eastAsia"/>
        </w:rPr>
        <w:t>通过本课程的学习，可以培养和提高学生的逻辑思维能力和动态网站开发的基本职业能力，养成软件著作权保护和网络信息安全传播等职业道德习惯。</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（5）软件测试入门（5102031224）（68学时）</w:t>
      </w:r>
    </w:p>
    <w:p>
      <w:pPr>
        <w:pStyle w:val="style0"/>
        <w:spacing w:lineRule="exact" w:line="360"/>
        <w:ind w:firstLine="420" w:firstLineChars="200"/>
        <w:rPr>
          <w:rFonts w:ascii="宋体" w:eastAsia="宋体" w:hAnsi="宋体"/>
        </w:rPr>
      </w:pPr>
      <w:r>
        <w:rPr>
          <w:rFonts w:ascii="宋体" w:cs="宋体" w:eastAsia="宋体" w:hAnsi="宋体" w:hint="eastAsia"/>
        </w:rPr>
        <w:t>本课程主要讲授软件的定义和特点，软件的分类，互联网概述、网络体系结构以及网络协议，不同的软件开发模型，测试生命周期，测试阶段分类以及注意事项等测试流程基础知识，让学生在程序开发中更快地编写测试文档。教师教学中采用项目教学法、案例教学法，注重“教、学、做”一体化。利用电子演示文稿、大屏幕多媒体联机演示、网络教学等各种先进的教学手段，结合实战项目学习web测试方面的基础和在本项目中所用到的工具，让大家更加深刻的理解web测试的知识。考核方法多种形式并用：平时表现、笔试考核、作品展示。作品展示是考核重点，它能检查学生的实际设计和开发能力，检验学生的知识面以</w:t>
      </w:r>
      <w:r>
        <w:rPr>
          <w:rFonts w:ascii="宋体" w:eastAsia="宋体" w:hAnsi="宋体" w:hint="eastAsia"/>
        </w:rPr>
        <w:t>及分析问题和解决问题的综合能力。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（6）Web前端基础（N5102031225）（68学时）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软件技术专业的一门专业必修课。通过本课程的学习，使学生能够迅速理解和掌握主流框架技术，快速设计和开发网页的能力。本课程主要内容：HTML5的高级特性（音频视频处理、地理定位、拖放、画布、WEB存储、应用缓存、无刷新接收服务器数据等）、Bootstrap框架（Bootstrap简介、环境安装、常用样式、布局组件及应用等）、JQueryMobile移动设备的开发、常用组件；列表、表单、事件处理等。教师应综合运用讲授、启发、问题讨论、综合练习、融教、学、做为一体的项目教学法和案例教学法等方式方法和现代多媒体、互联网等教学手段组织教学。通过本课程的学习，使学生接触实战项目，感受互联网最新技术，提高学生的探索欲，培养和提高学生的审美能力、创新精神和网站美化的基本职业能力，养成软件著作权保护和网络信息安全传播等职业道德习惯。</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（7）人工智能应用技术（5102031239）（56学时）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本课程是一门紧跟科技前沿的课程，旨在教授学生人工智能的基础理论，使用当前国内流行的</w:t>
      </w:r>
      <w:r>
        <w:rPr>
          <w:rFonts w:ascii="宋体" w:cs="宋体" w:eastAsia="宋体" w:hAnsi="宋体"/>
        </w:rPr>
        <w:t>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w:t>
      </w:r>
      <w:r>
        <w:rPr>
          <w:rFonts w:ascii="宋体" w:cs="宋体" w:eastAsia="宋体" w:hAnsi="宋体" w:hint="eastAsia"/>
        </w:rPr>
        <w:t>领域结合，激发其科技报国的责任感和使命感，树立正确的职业道德观和科技伦理观。</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（8）微信小程序（5102031226）（68学时）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本课程系统全面地讲解微信小程序的开发技术。从创建一个小程序项目并解析体验</w:t>
      </w:r>
      <w:r>
        <w:rPr>
          <w:rFonts w:ascii="宋体" w:cs="宋体" w:eastAsia="宋体" w:hAnsi="宋体"/>
        </w:rPr>
        <w:t xml:space="preserve">, </w:t>
      </w:r>
      <w:r>
        <w:rPr>
          <w:rFonts w:ascii="宋体" w:cs="宋体" w:eastAsia="宋体" w:hAnsi="宋体" w:hint="eastAsia"/>
        </w:rPr>
        <w:t>让学生理解</w:t>
      </w:r>
      <w:r>
        <w:rPr>
          <w:rFonts w:ascii="宋体" w:cs="宋体" w:eastAsia="宋体" w:hAnsi="宋体"/>
        </w:rPr>
        <w:t>如何由零开始创建一个小程序, 全面体验小程序的开发工具、界面、开发框架、实现过程及其主要代码框架, 了解小程序的应用场景及开发要求。接着</w:t>
      </w:r>
      <w:r>
        <w:rPr>
          <w:rFonts w:ascii="宋体" w:cs="宋体" w:eastAsia="宋体" w:hAnsi="宋体" w:hint="eastAsia"/>
        </w:rPr>
        <w:t>学习</w:t>
      </w:r>
      <w:r>
        <w:rPr>
          <w:rFonts w:ascii="宋体" w:cs="宋体" w:eastAsia="宋体" w:hAnsi="宋体"/>
        </w:rPr>
        <w:t>小程序开发基础, 包括小程序开发的语言与语法、函数方法、模块、事件交互等。然后详细</w:t>
      </w:r>
      <w:r>
        <w:rPr>
          <w:rFonts w:ascii="宋体" w:cs="宋体" w:eastAsia="宋体" w:hAnsi="宋体" w:hint="eastAsia"/>
        </w:rPr>
        <w:t>学习</w:t>
      </w:r>
      <w:r>
        <w:rPr>
          <w:rFonts w:ascii="宋体" w:cs="宋体" w:eastAsia="宋体" w:hAnsi="宋体"/>
        </w:rPr>
        <w:t>了组件的应用与开发, 包括开发过程与组件应用技巧, 还详细分析了API接口, 包括使用各个微信原生API接口进行小程序开发的技巧。最后</w:t>
      </w:r>
      <w:r>
        <w:rPr>
          <w:rFonts w:ascii="宋体" w:cs="宋体" w:eastAsia="宋体" w:hAnsi="宋体" w:hint="eastAsia"/>
        </w:rPr>
        <w:t>通过</w:t>
      </w:r>
      <w:r>
        <w:rPr>
          <w:rFonts w:ascii="宋体" w:cs="宋体" w:eastAsia="宋体" w:hAnsi="宋体"/>
        </w:rPr>
        <w:t>几个小程序实战案例, 让</w:t>
      </w:r>
      <w:r>
        <w:rPr>
          <w:rFonts w:ascii="宋体" w:cs="宋体" w:eastAsia="宋体" w:hAnsi="宋体" w:hint="eastAsia"/>
        </w:rPr>
        <w:t>学生</w:t>
      </w:r>
      <w:r>
        <w:rPr>
          <w:rFonts w:ascii="宋体" w:cs="宋体" w:eastAsia="宋体" w:hAnsi="宋体"/>
        </w:rPr>
        <w:t>实践小程序各项能力的应用及掌握一些应用</w:t>
      </w:r>
      <w:r>
        <w:rPr>
          <w:rFonts w:ascii="宋体" w:cs="宋体" w:eastAsia="宋体" w:hAnsi="宋体" w:hint="eastAsia"/>
        </w:rPr>
        <w:t>技巧。</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w:t>
      </w:r>
      <w:r>
        <w:rPr>
          <w:rFonts w:ascii="仿宋_GB2312" w:cs="Times New Roman" w:eastAsia="仿宋_GB2312" w:hAnsi="Times New Roman"/>
          <w:szCs w:val="21"/>
        </w:rPr>
        <w:t>9</w:t>
      </w:r>
      <w:r>
        <w:rPr>
          <w:rFonts w:ascii="仿宋_GB2312" w:cs="Times New Roman" w:eastAsia="仿宋_GB2312" w:hAnsi="Times New Roman" w:hint="eastAsia"/>
          <w:szCs w:val="21"/>
        </w:rPr>
        <w:t>）企业级框架开发（N510203122</w:t>
      </w:r>
      <w:r>
        <w:rPr>
          <w:rFonts w:ascii="仿宋_GB2312" w:cs="Times New Roman" w:eastAsia="仿宋_GB2312" w:hAnsi="Times New Roman"/>
          <w:szCs w:val="21"/>
        </w:rPr>
        <w:t>A</w:t>
      </w:r>
      <w:r>
        <w:rPr>
          <w:rFonts w:ascii="仿宋_GB2312" w:cs="Times New Roman" w:eastAsia="仿宋_GB2312" w:hAnsi="Times New Roman" w:hint="eastAsia"/>
          <w:szCs w:val="21"/>
        </w:rPr>
        <w:t>）（68学时）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本课程是软件技术专业软件开发工程师方向专门化课程，课程内容根据市场就业需求讲授最新的后端技术，包括Spring、Spring</w:t>
      </w:r>
      <w:r>
        <w:rPr>
          <w:rFonts w:ascii="宋体" w:cs="宋体" w:eastAsia="宋体" w:hAnsi="宋体"/>
        </w:rPr>
        <w:t>MVC</w:t>
      </w:r>
      <w:r>
        <w:rPr>
          <w:rFonts w:ascii="宋体" w:cs="宋体" w:eastAsia="宋体" w:hAnsi="宋体" w:hint="eastAsia"/>
        </w:rPr>
        <w:t>、MyBatis、SpringBoot等企业框架集。通过本课程的学习，使学生感受互联网最新技术，提高学生的探索欲，培养学生的自学能力和创新精神。基于工作过程的教学方法，项目教学按资讯、计划、决策、实施、检查、评估六步法来组织实施。并用现代多媒体、互联网等教学手段组织教学。通过本课程的学习，可以培养和提高学生的专业学习能力和自我拓展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w:t>
      </w:r>
      <w:r>
        <w:rPr>
          <w:rFonts w:ascii="仿宋_GB2312" w:cs="Times New Roman" w:eastAsia="仿宋_GB2312" w:hAnsi="Times New Roman"/>
          <w:szCs w:val="21"/>
        </w:rPr>
        <w:t>10</w:t>
      </w:r>
      <w:r>
        <w:rPr>
          <w:rFonts w:ascii="仿宋_GB2312" w:cs="Times New Roman" w:eastAsia="仿宋_GB2312" w:hAnsi="Times New Roman" w:hint="eastAsia"/>
          <w:szCs w:val="21"/>
        </w:rPr>
        <w:t>）区块链应用开发（N510203123</w:t>
      </w:r>
      <w:r>
        <w:rPr>
          <w:rFonts w:ascii="仿宋_GB2312" w:cs="Times New Roman" w:eastAsia="仿宋_GB2312" w:hAnsi="Times New Roman"/>
          <w:szCs w:val="21"/>
        </w:rPr>
        <w:t>7</w:t>
      </w:r>
      <w:r>
        <w:rPr>
          <w:rFonts w:ascii="仿宋_GB2312" w:cs="Times New Roman" w:eastAsia="仿宋_GB2312" w:hAnsi="Times New Roman" w:hint="eastAsia"/>
          <w:szCs w:val="21"/>
        </w:rPr>
        <w:t>）（56学时）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软件技术专业软件开发工程师方向专门化课程，主要学习如何使用区块链技术进行应用程序开发，以及如何利用区块链技术来构建安全可靠的应用程序。本课程以整体性、系统性地介绍区块链为目标，学习区块链的概念、知识体系、应用场景及典型区块链技术架构。通过本课程的学习，有助于学生建立对区块链的全面、系统性理解。通过接触实战项目，培养学生综合分析能力，对所学技术进行比较、取舍，合理运用到项目的综合能力。教师应综合运用讲授、启发、问题讨论、综合练习，融教、学、做为一体的项目教学法和案例教学法等方式方法和现代多媒体、互联网等教学手段组织教学。通过本课程的学习，可以培养和提高学生的逻辑思维能力和使用区块链技术进行数据保护和隐私保护的职业能力，养成软件著作权保护和网络信息安全传播等职业道德习惯。</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1</w:t>
      </w:r>
      <w:r>
        <w:rPr>
          <w:rFonts w:ascii="仿宋_GB2312" w:cs="Times New Roman" w:eastAsia="仿宋_GB2312" w:hAnsi="Times New Roman" w:hint="eastAsia"/>
          <w:szCs w:val="21"/>
        </w:rPr>
        <w:t>）移动应用开发（510203123</w:t>
      </w:r>
      <w:r>
        <w:rPr>
          <w:rFonts w:ascii="仿宋_GB2312" w:cs="Times New Roman" w:eastAsia="仿宋_GB2312" w:hAnsi="Times New Roman"/>
          <w:szCs w:val="21"/>
        </w:rPr>
        <w:t>8</w:t>
      </w:r>
      <w:r>
        <w:rPr>
          <w:rFonts w:ascii="仿宋_GB2312" w:cs="Times New Roman" w:eastAsia="仿宋_GB2312" w:hAnsi="Times New Roman" w:hint="eastAsia"/>
          <w:szCs w:val="21"/>
        </w:rPr>
        <w:t>）（</w:t>
      </w:r>
      <w:r>
        <w:rPr>
          <w:rFonts w:ascii="仿宋_GB2312" w:cs="Times New Roman" w:eastAsia="仿宋_GB2312" w:hAnsi="Times New Roman"/>
          <w:szCs w:val="21"/>
        </w:rPr>
        <w:t>84</w:t>
      </w:r>
      <w:r>
        <w:rPr>
          <w:rFonts w:ascii="仿宋_GB2312" w:cs="Times New Roman" w:eastAsia="仿宋_GB2312" w:hAnsi="Times New Roman" w:hint="eastAsia"/>
          <w:szCs w:val="21"/>
        </w:rPr>
        <w:t>学时）</w:t>
      </w:r>
    </w:p>
    <w:p>
      <w:pPr>
        <w:pStyle w:val="style0"/>
        <w:spacing w:lineRule="exact" w:line="360"/>
        <w:ind w:firstLine="420" w:firstLineChars="200"/>
        <w:rPr>
          <w:rFonts w:ascii="宋体" w:cs="宋体" w:eastAsia="宋体" w:hAnsi="宋体"/>
        </w:rPr>
      </w:pPr>
      <w:r>
        <w:rPr>
          <w:rFonts w:ascii="宋体" w:cs="宋体" w:eastAsia="宋体" w:hAnsi="宋体" w:hint="eastAsia"/>
        </w:rPr>
        <w:t>从对鸿蒙应用操作系统的整体架构开始介绍，围绕操作系统分布式特性，向学生介绍面向全场景的设计、开发、运用，包括多种设备之间能够实现硬件互助、资源共享；跨设备间进行业务流转，充分发挥不同设备的能力优势；多个设备之间无缝获取文件；智慧办公，手机与大屏类设备屏幕的多屏协同分享；依托华为可穿戴设备，学习掌握分布式运动健康整体方案。通过端到端AI学习，包括图像类、语音语言类、人脸检测类、文本分类机器学习，理论结合实践，打造AI新体验，构建AI应用。提供端到端AR/VR学习，包括运动跟踪、人体和人脸跟踪、环境跟踪等AR/VR能力，虚实融合场景运用，打造全新的视觉体验和交互方式。围绕鸿蒙应用开发，快速掌握操作系统提供的端、云开放能力，可以实现应用高效开发、快速增长、商业变现，让学生实践从理论学习、需求分析、架构设计到开发调测、优化改进等完整的项目周期，培养学生的技术应用、技术创新和协调配合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2</w:t>
      </w:r>
      <w:r>
        <w:rPr>
          <w:rFonts w:ascii="仿宋_GB2312" w:cs="Times New Roman" w:eastAsia="仿宋_GB2312" w:hAnsi="Times New Roman" w:hint="eastAsia"/>
          <w:szCs w:val="21"/>
        </w:rPr>
        <w:t>）JS函数集开发（N510203122</w:t>
      </w:r>
      <w:r>
        <w:rPr>
          <w:rFonts w:ascii="仿宋_GB2312" w:cs="Times New Roman" w:eastAsia="仿宋_GB2312" w:hAnsi="Times New Roman"/>
          <w:szCs w:val="21"/>
        </w:rPr>
        <w:t>B</w:t>
      </w:r>
      <w:r>
        <w:rPr>
          <w:rFonts w:ascii="仿宋_GB2312" w:cs="Times New Roman" w:eastAsia="仿宋_GB2312" w:hAnsi="Times New Roman" w:hint="eastAsia"/>
          <w:szCs w:val="21"/>
        </w:rPr>
        <w:t>）（68学时）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软件技术专业网站前端开发工程师方向专门化课程，主要讲解图像处理、Jquery、node.js等常用企业级网站前端框架，使学生熟悉网站前端最新框架，掌握快速开发项目的方式，并根据实际项目，选择合适的框架进行开发，培养学生的创新精神和综合分析能力。教师应综合运用讲授、启发、问题讨论、综合练习，融教、学、做为一体的项目教学法和案例教学法等方式方法和现代多媒体、互联网等教学手段组织教学。通过本课程的学习，可以培养和提高学生的应用框架技术制作网站页面的职业能力，养成软件著作权保护和网络信息安全传播等职业道德习惯。</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3</w:t>
      </w:r>
      <w:r>
        <w:rPr>
          <w:rFonts w:ascii="仿宋_GB2312" w:cs="Times New Roman" w:eastAsia="仿宋_GB2312" w:hAnsi="Times New Roman" w:hint="eastAsia"/>
          <w:szCs w:val="21"/>
        </w:rPr>
        <w:t>）企业级框架MVVM（N5102031232）（56学时）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课程是软件技术专业网站前端开发工程师方向专门化课程，课程内容根据市场就业需求讲授最新的网站前端技术。基于工作过程的教学方法，项目教学按资讯、计划、决策、实施、检查、评估六步法来组织实施。并用现代多媒体、互联网等教学手段组织教学。通过本课程的学习，使学生感受互联网最新技术，激发学生的探索欲，培养学生的自学能力、创新精神和职业道德。</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4</w:t>
      </w:r>
      <w:r>
        <w:rPr>
          <w:rFonts w:ascii="仿宋_GB2312" w:cs="Times New Roman" w:eastAsia="仿宋_GB2312" w:hAnsi="Times New Roman" w:hint="eastAsia"/>
          <w:szCs w:val="21"/>
        </w:rPr>
        <w:t>）岗位实习（5102031360）（260学时）</w:t>
      </w:r>
    </w:p>
    <w:p>
      <w:pPr>
        <w:pStyle w:val="style0"/>
        <w:spacing w:lineRule="exact" w:line="360"/>
        <w:ind w:firstLine="420" w:firstLineChars="200"/>
        <w:rPr>
          <w:rFonts w:ascii="宋体" w:eastAsia="宋体" w:hAnsi="宋体"/>
        </w:rPr>
      </w:pPr>
      <w:r>
        <w:rPr>
          <w:rFonts w:ascii="宋体" w:cs="宋体" w:eastAsia="宋体" w:hAnsi="宋体" w:hint="eastAsia"/>
        </w:rPr>
        <w:t>通过岗位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软件技术专业高技能人才的需求，为毕业生顺利就业和在未来就业岗位上更好地发挥作用打下坚实的基础。</w:t>
      </w:r>
      <w:r>
        <w:rPr>
          <w:rFonts w:ascii="宋体" w:cs="宋体" w:eastAsia="宋体" w:hAnsi="宋体" w:hint="eastAsia"/>
          <w:szCs w:val="21"/>
        </w:rPr>
        <w:t>通过岗位实习，加强学生职业道德教育，培养学生爱岗敬业、形成良好的职业意识和职业情感，提高岗位认知能力。</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（1</w:t>
      </w:r>
      <w:r>
        <w:rPr>
          <w:rFonts w:ascii="仿宋_GB2312" w:cs="Times New Roman" w:eastAsia="仿宋_GB2312" w:hAnsi="Times New Roman"/>
          <w:szCs w:val="21"/>
        </w:rPr>
        <w:t>5</w:t>
      </w:r>
      <w:r>
        <w:rPr>
          <w:rFonts w:ascii="仿宋_GB2312" w:cs="Times New Roman" w:eastAsia="仿宋_GB2312" w:hAnsi="Times New Roman" w:hint="eastAsia"/>
          <w:szCs w:val="21"/>
        </w:rPr>
        <w:t>）毕业论文（毕业设计）（5102031361）（100学时）</w:t>
      </w:r>
    </w:p>
    <w:p>
      <w:pPr>
        <w:pStyle w:val="style0"/>
        <w:spacing w:lineRule="exact" w:line="360"/>
        <w:ind w:firstLine="420" w:firstLineChars="200"/>
        <w:rPr>
          <w:rFonts w:ascii="宋体" w:cs="宋体" w:eastAsia="宋体" w:hAnsi="宋体"/>
        </w:rPr>
      </w:pPr>
      <w:r>
        <w:rPr>
          <w:rFonts w:ascii="宋体" w:cs="宋体" w:eastAsia="宋体" w:hAnsi="宋体" w:hint="eastAsia"/>
        </w:rPr>
        <w:t>学生在岗位实习前，根据系部时间安排，结合专业要求和自身情况，与论文指导老师协商，确立论文题目，填写开题报告。岗位实习期间，再结合工作撰写本专业的毕业论文，并及时与指导老师沟通意见，修改形成定稿。岗位实习后期，按规定格式上交论文等相关材料后，根据系部统一安排完成论文答辩，</w:t>
      </w:r>
      <w:r>
        <w:rPr>
          <w:rFonts w:ascii="宋体" w:cs="宋体" w:eastAsia="宋体" w:hAnsi="宋体" w:hint="eastAsia"/>
          <w:szCs w:val="21"/>
        </w:rPr>
        <w:t>培养学生观察、分析、解决和处理实际问题的职业素养。</w:t>
      </w:r>
      <w:r>
        <w:rPr>
          <w:rFonts w:ascii="宋体" w:cs="宋体" w:eastAsia="宋体" w:hAnsi="宋体" w:hint="eastAsia"/>
        </w:rPr>
        <w:t>合格者可获得相应的学分。</w:t>
      </w:r>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3.互选拓展课程</w:t>
      </w:r>
    </w:p>
    <w:p>
      <w:pPr>
        <w:pStyle w:val="style0"/>
        <w:spacing w:lineRule="exact" w:line="360"/>
        <w:ind w:firstLine="420" w:firstLineChars="200"/>
        <w:rPr>
          <w:rFonts w:ascii="仿宋_GB2312" w:cs="Times New Roman" w:eastAsia="仿宋_GB2312" w:hAnsi="Times New Roman"/>
          <w:szCs w:val="21"/>
        </w:rPr>
      </w:pPr>
      <w:r>
        <w:rPr>
          <w:rFonts w:ascii="仿宋_GB2312" w:cs="Times New Roman" w:eastAsia="仿宋_GB2312" w:hAnsi="Times New Roman" w:hint="eastAsia"/>
          <w:szCs w:val="21"/>
        </w:rPr>
        <w:t>网页设计与制作（5102031240）（</w:t>
      </w:r>
      <w:r>
        <w:rPr>
          <w:rFonts w:ascii="仿宋_GB2312" w:cs="Times New Roman" w:eastAsia="仿宋_GB2312" w:hAnsi="Times New Roman"/>
          <w:szCs w:val="21"/>
        </w:rPr>
        <w:t>56</w:t>
      </w:r>
      <w:r>
        <w:rPr>
          <w:rFonts w:ascii="仿宋_GB2312" w:cs="Times New Roman" w:eastAsia="仿宋_GB2312" w:hAnsi="Times New Roman" w:hint="eastAsia"/>
          <w:szCs w:val="21"/>
        </w:rPr>
        <w:t>学时）</w:t>
      </w:r>
    </w:p>
    <w:p>
      <w:pPr>
        <w:pStyle w:val="style0"/>
        <w:spacing w:lineRule="exact" w:line="360"/>
        <w:ind w:firstLine="420" w:firstLineChars="200"/>
        <w:rPr>
          <w:rFonts w:ascii="宋体" w:cs="宋体" w:eastAsia="宋体" w:hAnsi="宋体"/>
        </w:rPr>
      </w:pPr>
      <w:r>
        <w:rPr>
          <w:rFonts w:ascii="宋体" w:cs="宋体" w:eastAsia="宋体" w:hAnsi="宋体" w:hint="eastAsia"/>
        </w:rPr>
        <w:t>本</w:t>
      </w:r>
      <w:r>
        <w:rPr>
          <w:rFonts w:ascii="宋体" w:eastAsia="宋体" w:hAnsi="宋体" w:hint="eastAsia"/>
        </w:rPr>
        <w:t>互选拓展</w:t>
      </w:r>
      <w:r>
        <w:rPr>
          <w:rFonts w:ascii="宋体" w:cs="宋体" w:eastAsia="宋体" w:hAnsi="宋体" w:hint="eastAsia"/>
        </w:rPr>
        <w:t>课程，选自信息安全</w:t>
      </w:r>
      <w:r>
        <w:rPr>
          <w:rFonts w:ascii="宋体" w:cs="Times New Roman" w:eastAsia="宋体" w:hAnsi="宋体" w:hint="eastAsia"/>
          <w:szCs w:val="21"/>
        </w:rPr>
        <w:t>技术应用</w:t>
      </w:r>
      <w:r>
        <w:rPr>
          <w:rFonts w:ascii="宋体" w:cs="宋体" w:eastAsia="宋体" w:hAnsi="宋体" w:hint="eastAsia"/>
        </w:rPr>
        <w:t>专业群计算机网络技术专业的特色分立课程。本课程主要讲授web前端介绍、webstorm的使用、HTML基本结构和基本元素、DTD文档模型及HTML基础元素、HTML框架集与布局、HTML表单提交、DIV+CSS布局、CSS基本样式、基础选择器、选择器优先级、CSS浮动、定位、CSS盒子模型、CSS伸缩盒子模型、CSS动画、CSS3媒体查询和CSS3多列布局等，学习完成后能根据网站PSD图，实现美观大方的页面布局，并符合HTML5和CSS3规范。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在完成任务过程中，有必要鼓励学生尽多借鉴优秀网站的长处，鼓励学生掌握更多网页制作辅助工具，进而让学生掌握学习新技术的方法，从而能够紧跟技术发展潮流。</w:t>
      </w:r>
    </w:p>
    <w:p>
      <w:pPr>
        <w:pStyle w:val="style0"/>
        <w:spacing w:lineRule="exact" w:line="360"/>
        <w:ind w:firstLine="420" w:firstLineChars="200"/>
        <w:rPr>
          <w:rFonts w:ascii="宋体" w:cs="宋体" w:eastAsia="宋体" w:hAnsi="宋体"/>
        </w:rPr>
      </w:pPr>
      <w:r>
        <w:rPr>
          <w:rFonts w:ascii="宋体" w:cs="宋体" w:eastAsia="宋体" w:hAnsi="宋体" w:hint="eastAsia"/>
        </w:rPr>
        <w:t>教师在对知识点讲解的同时，引导学生自主设计出动态页面或者手机页面,也可以以团队的形式共同设计开发。课程结束要以大作业的形式上交个人作品或者团体作品，对于优秀的设计，将重点支持和推广。</w:t>
      </w:r>
    </w:p>
    <w:p>
      <w:pPr>
        <w:pStyle w:val="style0"/>
        <w:spacing w:lineRule="exact" w:line="360"/>
        <w:ind w:firstLine="420" w:firstLineChars="200"/>
        <w:rPr>
          <w:rFonts w:ascii="宋体" w:eastAsia="宋体" w:hAnsi="宋体"/>
        </w:rPr>
      </w:pPr>
      <w:r>
        <w:rPr>
          <w:rFonts w:ascii="宋体" w:cs="宋体" w:eastAsia="宋体" w:hAnsi="宋体" w:hint="eastAsia"/>
        </w:rPr>
        <w:t>通过本课程的学习，可以培养和提高学生的创新精神和网页制作基本职业能力。</w:t>
      </w:r>
    </w:p>
    <w:p>
      <w:pPr>
        <w:pStyle w:val="style0"/>
        <w:ind w:firstLine="420" w:firstLineChars="200"/>
        <w:rPr>
          <w:rFonts w:ascii="Times New Roman" w:eastAsia="宋体" w:hAnsi="Times New Roman"/>
        </w:rPr>
      </w:pPr>
      <w:r>
        <w:rPr>
          <w:rFonts w:ascii="Times New Roman" w:eastAsia="宋体" w:hAnsi="Times New Roman" w:hint="eastAsia"/>
        </w:rPr>
        <w:t>4. 结合专业教学的特色创新创业课程（30~60学时）</w:t>
      </w:r>
    </w:p>
    <w:p>
      <w:pPr>
        <w:pStyle w:val="style0"/>
        <w:spacing w:lineRule="exact" w:line="360"/>
        <w:ind w:firstLine="420" w:firstLineChars="200"/>
        <w:rPr>
          <w:rFonts w:ascii="宋体" w:cs="宋体" w:eastAsia="宋体" w:hAnsi="宋体"/>
        </w:rPr>
      </w:pPr>
      <w:r>
        <w:rPr>
          <w:rFonts w:ascii="宋体" w:cs="宋体" w:eastAsia="宋体" w:hAnsi="宋体" w:hint="eastAsia"/>
        </w:rPr>
        <w:t>在第五学期结合软件技术专业特色，根据软件开发工程师的要求，让学生在企业工程师或项目经理的带领下，参与完成真实的项目开发。实训中，学生以“准职业人”的身份参加项目研发，以团队合作的形式，从需求分析、框架设计，到软件编码、测试、使用、文档书写等全过程参与，熟悉企业使用的开发工具、了解软件系统的应用场合，掌握不同场合的软件设计需求和开发流程，从而达到信息安全上游产业链</w:t>
      </w:r>
      <w:r>
        <w:rPr>
          <w:rFonts w:ascii="宋体" w:eastAsia="宋体" w:hAnsi="宋体" w:hint="eastAsia"/>
          <w:szCs w:val="21"/>
        </w:rPr>
        <w:t>类企业</w:t>
      </w:r>
      <w:r>
        <w:rPr>
          <w:rFonts w:ascii="宋体" w:cs="宋体" w:eastAsia="宋体" w:hAnsi="宋体" w:hint="eastAsia"/>
        </w:rPr>
        <w:t>软件开发岗位的基本要求。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pStyle w:val="style0"/>
        <w:spacing w:lineRule="exact" w:line="360"/>
        <w:ind w:firstLine="420" w:firstLineChars="200"/>
        <w:rPr>
          <w:rFonts w:ascii="宋体" w:eastAsia="宋体" w:hAnsi="宋体"/>
          <w:szCs w:val="21"/>
        </w:rPr>
      </w:pPr>
      <w:r>
        <w:rPr>
          <w:rFonts w:ascii="仿宋_GB2312" w:cs="Times New Roman" w:eastAsia="仿宋_GB2312" w:hAnsi="Times New Roman" w:hint="eastAsia"/>
          <w:szCs w:val="21"/>
        </w:rPr>
        <w:t>综合</w:t>
      </w:r>
      <w:r>
        <w:rPr>
          <w:rFonts w:ascii="仿宋_GB2312" w:cs="Times New Roman" w:eastAsia="仿宋_GB2312" w:hAnsi="Times New Roman"/>
          <w:szCs w:val="21"/>
        </w:rPr>
        <w:t>实训</w:t>
      </w:r>
      <w:r>
        <w:rPr>
          <w:rFonts w:ascii="仿宋_GB2312" w:cs="Times New Roman" w:eastAsia="仿宋_GB2312" w:hAnsi="Times New Roman" w:hint="eastAsia"/>
          <w:szCs w:val="21"/>
        </w:rPr>
        <w:t>（C510203</w:t>
      </w:r>
      <w:r>
        <w:rPr>
          <w:rFonts w:ascii="仿宋_GB2312" w:cs="Times New Roman" w:eastAsia="仿宋_GB2312" w:hAnsi="Times New Roman"/>
          <w:szCs w:val="21"/>
        </w:rPr>
        <w:t>1</w:t>
      </w:r>
      <w:r>
        <w:rPr>
          <w:rFonts w:ascii="仿宋_GB2312" w:cs="Times New Roman" w:eastAsia="仿宋_GB2312" w:hAnsi="Times New Roman" w:hint="eastAsia"/>
          <w:szCs w:val="21"/>
        </w:rPr>
        <w:t>3</w:t>
      </w:r>
      <w:r>
        <w:rPr>
          <w:rFonts w:ascii="仿宋_GB2312" w:cs="Times New Roman" w:eastAsia="仿宋_GB2312" w:hAnsi="Times New Roman"/>
          <w:szCs w:val="21"/>
        </w:rPr>
        <w:t>3</w:t>
      </w:r>
      <w:r>
        <w:rPr>
          <w:rFonts w:ascii="仿宋_GB2312" w:cs="Times New Roman" w:eastAsia="仿宋_GB2312" w:hAnsi="Times New Roman" w:hint="eastAsia"/>
          <w:szCs w:val="21"/>
        </w:rPr>
        <w:t>4）（52学时）</w:t>
      </w:r>
    </w:p>
    <w:p>
      <w:pPr>
        <w:pStyle w:val="style0"/>
        <w:spacing w:lineRule="exact" w:line="360"/>
        <w:ind w:firstLine="420" w:firstLineChars="200"/>
        <w:jc w:val="left"/>
        <w:rPr>
          <w:rFonts w:ascii="宋体" w:cs="宋体" w:eastAsia="宋体" w:hAnsi="宋体"/>
        </w:rPr>
      </w:pPr>
      <w:r>
        <w:rPr>
          <w:rFonts w:ascii="宋体" w:cs="宋体" w:eastAsia="宋体" w:hAnsi="宋体" w:hint="eastAsia"/>
        </w:rPr>
        <w:t>本课程为软件技术专业的企业项目综合实训，后端使用SSM（</w:t>
      </w:r>
      <w:r>
        <w:rPr>
          <w:rFonts w:ascii="宋体" w:cs="宋体" w:eastAsia="宋体" w:hAnsi="宋体"/>
        </w:rPr>
        <w:t>Spring+SpringMVC+MyBatis</w:t>
      </w:r>
      <w:r>
        <w:rPr>
          <w:rFonts w:ascii="宋体" w:cs="宋体" w:eastAsia="宋体" w:hAnsi="宋体" w:hint="eastAsia"/>
        </w:rPr>
        <w:t>，其中Spring框架建议使用最新的Springboot）企业级框架开发B/S 结构企业级应用；前端将网页UI转化为HTML5+CSS3网页，使用MVVM框架进行数据沟通，使用javaScript、Ajax进行数据响应，并可以使用JavaScript及Jquery完成网页综合特效的制作。本实训的主要教学任务是，学生在企业工程师或项目经理的带领下，完成2个或多个真实的项目开发。从需求分析、框架设计，到软件编码、测试、使用、文档书写等全过程参与。要求学生在前期所学知识和掌握技能的基础上，熟悉软件开发的开发流程，掌握常用的开发手段和工具，能够更好胜任软件开发的开发任务，为学生以后的就业打下坚实的基础。实训中，学生以“准职业人”的身份参加项目研发，以团队的形式参与项目，从而达到企业用人</w:t>
      </w:r>
      <w:bookmarkStart w:id="6" w:name="_GoBack"/>
      <w:bookmarkEnd w:id="6"/>
      <w:r>
        <w:rPr>
          <w:rFonts w:ascii="宋体" w:cs="宋体" w:eastAsia="宋体" w:hAnsi="宋体" w:hint="eastAsia"/>
        </w:rPr>
        <w:t>的基本要求，能够较快地适应从学生到准职业人的转变。</w:t>
      </w:r>
    </w:p>
    <w:p>
      <w:pPr>
        <w:pStyle w:val="style0"/>
        <w:ind w:firstLine="420" w:firstLineChars="200"/>
        <w:rPr>
          <w:rFonts w:ascii="宋体" w:eastAsia="宋体" w:hAnsi="宋体"/>
        </w:rPr>
      </w:pPr>
      <w:r>
        <w:rPr>
          <w:rFonts w:ascii="宋体" w:cs="宋体" w:eastAsia="宋体" w:hAnsi="宋体" w:hint="eastAsia"/>
        </w:rPr>
        <w:t>通过实训，可以更好地培养学生团队合作精神、责任心、开发进度的控制、良好的时间观念、软件著作权的保护观念和网络信息的安全传播。最后通过项目展示，培养学生的语言表达能力，勇于展示自我，树立自信心</w:t>
      </w:r>
      <w:r>
        <w:rPr>
          <w:rFonts w:ascii="宋体" w:eastAsia="宋体" w:hAnsi="宋体" w:hint="eastAsia"/>
        </w:rPr>
        <w:t>。</w:t>
      </w:r>
    </w:p>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七、教学进程安排</w:t>
      </w:r>
    </w:p>
    <w:p>
      <w:pPr>
        <w:pStyle w:val="style0"/>
        <w:spacing w:lineRule="exact" w:line="360"/>
        <w:ind w:firstLine="420" w:firstLineChars="200"/>
        <w:rPr>
          <w:rFonts w:ascii="Times New Roman" w:eastAsia="宋体" w:hAnsi="Times New Roman"/>
        </w:rPr>
      </w:pPr>
      <w:r>
        <w:rPr>
          <w:rFonts w:ascii="Times New Roman" w:eastAsia="宋体" w:hAnsi="Times New Roman" w:hint="eastAsia"/>
        </w:rPr>
        <w:t>（一）总时间分配表</w:t>
      </w:r>
    </w:p>
    <w:tbl>
      <w:tblPr>
        <w:tblStyle w:val="style105"/>
        <w:tblW w:w="88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rPr>
          <w:cantSplit/>
          <w:trHeight w:val="20" w:hRule="atLeast"/>
          <w:jc w:val="center"/>
        </w:trPr>
        <w:tc>
          <w:tcPr>
            <w:tcW w:w="681"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学</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年</w:t>
            </w:r>
          </w:p>
        </w:tc>
        <w:tc>
          <w:tcPr>
            <w:tcW w:w="576"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学</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期</w:t>
            </w:r>
          </w:p>
        </w:tc>
        <w:tc>
          <w:tcPr>
            <w:tcW w:w="488"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总</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周</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数</w:t>
            </w:r>
          </w:p>
        </w:tc>
        <w:tc>
          <w:tcPr>
            <w:tcW w:w="1434" w:type="dxa"/>
            <w:gridSpan w:val="2"/>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其  中</w:t>
            </w:r>
          </w:p>
        </w:tc>
        <w:tc>
          <w:tcPr>
            <w:tcW w:w="3147" w:type="dxa"/>
            <w:gridSpan w:val="4"/>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教    学</w:t>
            </w:r>
          </w:p>
        </w:tc>
        <w:tc>
          <w:tcPr>
            <w:tcW w:w="893"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lang w:val="en-US" w:eastAsia="zh-CN"/>
              </w:rPr>
              <w:t>岗位</w:t>
            </w:r>
            <w:r>
              <w:rPr>
                <w:rFonts w:ascii="Times New Roman" w:eastAsia="宋体" w:hAnsi="Times New Roman" w:hint="eastAsia"/>
                <w:b/>
                <w:sz w:val="18"/>
                <w:szCs w:val="18"/>
              </w:rPr>
              <w:t>实</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习教育</w:t>
            </w:r>
          </w:p>
        </w:tc>
        <w:tc>
          <w:tcPr>
            <w:tcW w:w="681"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军训</w:t>
            </w:r>
          </w:p>
        </w:tc>
        <w:tc>
          <w:tcPr>
            <w:tcW w:w="469"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毕</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业</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教</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育</w:t>
            </w:r>
          </w:p>
        </w:tc>
        <w:tc>
          <w:tcPr>
            <w:tcW w:w="465" w:type="dxa"/>
            <w:vMerge w:val="restart"/>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机</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动</w:t>
            </w:r>
          </w:p>
        </w:tc>
      </w:tr>
      <w:tr>
        <w:tblPrEx/>
        <w:trPr>
          <w:cantSplit/>
          <w:trHeight w:val="20" w:hRule="atLeast"/>
          <w:jc w:val="center"/>
        </w:trPr>
        <w:tc>
          <w:tcPr>
            <w:tcW w:w="681" w:type="dxa"/>
            <w:vMerge w:val="continue"/>
            <w:tcBorders/>
            <w:vAlign w:val="center"/>
          </w:tcPr>
          <w:p>
            <w:pPr>
              <w:pStyle w:val="style0"/>
              <w:spacing w:lineRule="exact" w:line="240"/>
              <w:jc w:val="center"/>
              <w:rPr>
                <w:rFonts w:ascii="Times New Roman" w:eastAsia="宋体" w:hAnsi="Times New Roman"/>
                <w:sz w:val="18"/>
                <w:szCs w:val="18"/>
              </w:rPr>
            </w:pPr>
          </w:p>
        </w:tc>
        <w:tc>
          <w:tcPr>
            <w:tcW w:w="576" w:type="dxa"/>
            <w:vMerge w:val="continue"/>
            <w:tcBorders/>
            <w:vAlign w:val="center"/>
          </w:tcPr>
          <w:p>
            <w:pPr>
              <w:pStyle w:val="style0"/>
              <w:spacing w:lineRule="exact" w:line="240"/>
              <w:jc w:val="center"/>
              <w:rPr>
                <w:rFonts w:ascii="Times New Roman" w:eastAsia="宋体" w:hAnsi="Times New Roman"/>
                <w:sz w:val="18"/>
                <w:szCs w:val="18"/>
              </w:rPr>
            </w:pPr>
          </w:p>
        </w:tc>
        <w:tc>
          <w:tcPr>
            <w:tcW w:w="488" w:type="dxa"/>
            <w:vMerge w:val="continue"/>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学期</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周数</w:t>
            </w:r>
          </w:p>
        </w:tc>
        <w:tc>
          <w:tcPr>
            <w:tcW w:w="753" w:type="dxa"/>
            <w:tcBorders/>
            <w:vAlign w:val="center"/>
          </w:tcPr>
          <w:p>
            <w:pPr>
              <w:pStyle w:val="style4104"/>
              <w:widowControl w:val="false"/>
              <w:pBdr>
                <w:left w:val="none" w:sz="0" w:space="0" w:color="auto"/>
                <w:right w:val="none" w:sz="0" w:space="0" w:color="auto"/>
              </w:pBdr>
              <w:spacing w:before="0" w:beforeAutospacing="false" w:after="0" w:afterAutospacing="false" w:lineRule="exact" w:line="240"/>
              <w:textAlignment w:val="auto"/>
              <w:rPr>
                <w:rFonts w:ascii="Times New Roman" w:eastAsia="宋体" w:hAnsi="Times New Roman"/>
                <w:b/>
                <w:spacing w:val="-20"/>
                <w:kern w:val="2"/>
                <w:sz w:val="18"/>
                <w:szCs w:val="18"/>
              </w:rPr>
            </w:pPr>
            <w:r>
              <w:rPr>
                <w:rFonts w:ascii="Times New Roman" w:eastAsia="宋体" w:hAnsi="Times New Roman" w:hint="eastAsia"/>
                <w:b/>
                <w:spacing w:val="-20"/>
                <w:kern w:val="2"/>
                <w:sz w:val="18"/>
                <w:szCs w:val="18"/>
              </w:rPr>
              <w:t>寒暑假</w:t>
            </w:r>
          </w:p>
        </w:tc>
        <w:tc>
          <w:tcPr>
            <w:tcW w:w="1105" w:type="dxa"/>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课内教学</w:t>
            </w:r>
          </w:p>
        </w:tc>
        <w:tc>
          <w:tcPr>
            <w:tcW w:w="681" w:type="dxa"/>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考试</w:t>
            </w:r>
          </w:p>
        </w:tc>
        <w:tc>
          <w:tcPr>
            <w:tcW w:w="679" w:type="dxa"/>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校内</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实训</w:t>
            </w:r>
          </w:p>
        </w:tc>
        <w:tc>
          <w:tcPr>
            <w:tcW w:w="682" w:type="dxa"/>
            <w:tcBorders/>
            <w:vAlign w:val="center"/>
          </w:tcPr>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校外</w:t>
            </w:r>
          </w:p>
          <w:p>
            <w:pPr>
              <w:pStyle w:val="style0"/>
              <w:spacing w:lineRule="exact" w:line="240"/>
              <w:jc w:val="center"/>
              <w:rPr>
                <w:rFonts w:ascii="Times New Roman" w:eastAsia="宋体" w:hAnsi="Times New Roman"/>
                <w:b/>
                <w:sz w:val="18"/>
                <w:szCs w:val="18"/>
              </w:rPr>
            </w:pPr>
            <w:r>
              <w:rPr>
                <w:rFonts w:ascii="Times New Roman" w:eastAsia="宋体" w:hAnsi="Times New Roman" w:hint="eastAsia"/>
                <w:b/>
                <w:sz w:val="18"/>
                <w:szCs w:val="18"/>
              </w:rPr>
              <w:t>实习</w:t>
            </w:r>
          </w:p>
        </w:tc>
        <w:tc>
          <w:tcPr>
            <w:tcW w:w="893" w:type="dxa"/>
            <w:vMerge w:val="continue"/>
            <w:tcBorders/>
            <w:vAlign w:val="center"/>
          </w:tcPr>
          <w:p>
            <w:pPr>
              <w:pStyle w:val="style0"/>
              <w:spacing w:lineRule="exact" w:line="240"/>
              <w:jc w:val="center"/>
              <w:rPr>
                <w:rFonts w:ascii="Times New Roman" w:eastAsia="宋体" w:hAnsi="Times New Roman"/>
                <w:sz w:val="18"/>
                <w:szCs w:val="18"/>
              </w:rPr>
            </w:pPr>
          </w:p>
        </w:tc>
        <w:tc>
          <w:tcPr>
            <w:tcW w:w="681" w:type="dxa"/>
            <w:vMerge w:val="continue"/>
            <w:tcBorders/>
            <w:vAlign w:val="center"/>
          </w:tcPr>
          <w:p>
            <w:pPr>
              <w:pStyle w:val="style0"/>
              <w:spacing w:lineRule="exact" w:line="240"/>
              <w:jc w:val="center"/>
              <w:rPr>
                <w:rFonts w:ascii="Times New Roman" w:eastAsia="宋体" w:hAnsi="Times New Roman"/>
                <w:sz w:val="18"/>
                <w:szCs w:val="18"/>
              </w:rPr>
            </w:pPr>
          </w:p>
        </w:tc>
        <w:tc>
          <w:tcPr>
            <w:tcW w:w="469" w:type="dxa"/>
            <w:vMerge w:val="continue"/>
            <w:tcBorders/>
            <w:vAlign w:val="center"/>
          </w:tcPr>
          <w:p>
            <w:pPr>
              <w:pStyle w:val="style0"/>
              <w:spacing w:lineRule="exact" w:line="240"/>
              <w:jc w:val="center"/>
              <w:rPr>
                <w:rFonts w:ascii="Times New Roman" w:eastAsia="宋体" w:hAnsi="Times New Roman"/>
                <w:sz w:val="18"/>
                <w:szCs w:val="18"/>
              </w:rPr>
            </w:pPr>
          </w:p>
        </w:tc>
        <w:tc>
          <w:tcPr>
            <w:tcW w:w="465" w:type="dxa"/>
            <w:vMerge w:val="continue"/>
            <w:tcBorders/>
            <w:vAlign w:val="center"/>
          </w:tcPr>
          <w:p>
            <w:pPr>
              <w:pStyle w:val="style0"/>
              <w:spacing w:lineRule="exact" w:line="240"/>
              <w:jc w:val="center"/>
              <w:rPr>
                <w:rFonts w:ascii="Times New Roman" w:eastAsia="宋体" w:hAnsi="Times New Roman"/>
                <w:sz w:val="18"/>
                <w:szCs w:val="18"/>
              </w:rPr>
            </w:pPr>
          </w:p>
        </w:tc>
      </w:tr>
      <w:tr>
        <w:tblPrEx/>
        <w:trPr>
          <w:cantSplit/>
          <w:trHeight w:val="20" w:hRule="atLeast"/>
          <w:jc w:val="center"/>
        </w:trPr>
        <w:tc>
          <w:tcPr>
            <w:tcW w:w="681" w:type="dxa"/>
            <w:vMerge w:val="restart"/>
            <w:tcBorders/>
            <w:vAlign w:val="center"/>
          </w:tcPr>
          <w:p>
            <w:pPr>
              <w:pStyle w:val="style0"/>
              <w:spacing w:lineRule="exact" w:line="240"/>
              <w:jc w:val="center"/>
              <w:rPr>
                <w:rFonts w:ascii="Times New Roman" w:eastAsia="宋体" w:hAnsi="Times New Roman"/>
                <w:sz w:val="18"/>
                <w:szCs w:val="18"/>
              </w:rPr>
            </w:pPr>
          </w:p>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一</w:t>
            </w: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Ⅰ</w:t>
            </w:r>
          </w:p>
        </w:tc>
        <w:tc>
          <w:tcPr>
            <w:tcW w:w="488" w:type="dxa"/>
            <w:vMerge w:val="restart"/>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52</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4</w:t>
            </w:r>
          </w:p>
        </w:tc>
        <w:tc>
          <w:tcPr>
            <w:tcW w:w="110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sz w:val="18"/>
                <w:szCs w:val="18"/>
              </w:rPr>
              <w:t>14</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79" w:type="dxa"/>
            <w:tcBorders/>
            <w:vAlign w:val="center"/>
          </w:tcPr>
          <w:p>
            <w:pPr>
              <w:pStyle w:val="style0"/>
              <w:spacing w:lineRule="exact" w:line="240"/>
              <w:jc w:val="center"/>
              <w:rPr>
                <w:rFonts w:ascii="Times New Roman" w:eastAsia="宋体" w:hAnsi="Times New Roman"/>
                <w:sz w:val="18"/>
                <w:szCs w:val="18"/>
              </w:rPr>
            </w:pPr>
          </w:p>
        </w:tc>
        <w:tc>
          <w:tcPr>
            <w:tcW w:w="682" w:type="dxa"/>
            <w:tcBorders/>
            <w:vAlign w:val="center"/>
          </w:tcPr>
          <w:p>
            <w:pPr>
              <w:pStyle w:val="style0"/>
              <w:spacing w:lineRule="exact" w:line="240"/>
              <w:jc w:val="center"/>
              <w:rPr>
                <w:rFonts w:ascii="Times New Roman" w:eastAsia="宋体" w:hAnsi="Times New Roman"/>
                <w:sz w:val="18"/>
                <w:szCs w:val="18"/>
              </w:rPr>
            </w:pPr>
          </w:p>
        </w:tc>
        <w:tc>
          <w:tcPr>
            <w:tcW w:w="893"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469" w:type="dxa"/>
            <w:tcBorders/>
            <w:vAlign w:val="center"/>
          </w:tcPr>
          <w:p>
            <w:pPr>
              <w:pStyle w:val="style0"/>
              <w:spacing w:lineRule="exact" w:line="240"/>
              <w:jc w:val="center"/>
              <w:rPr>
                <w:rFonts w:ascii="Times New Roman" w:eastAsia="宋体" w:hAnsi="Times New Roman"/>
                <w:sz w:val="18"/>
                <w:szCs w:val="18"/>
              </w:rPr>
            </w:pP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sz w:val="18"/>
                <w:szCs w:val="18"/>
              </w:rPr>
              <w:t>2</w:t>
            </w:r>
          </w:p>
        </w:tc>
      </w:tr>
      <w:tr>
        <w:tblPrEx/>
        <w:trPr>
          <w:cantSplit/>
          <w:trHeight w:val="20" w:hRule="atLeast"/>
          <w:jc w:val="center"/>
        </w:trPr>
        <w:tc>
          <w:tcPr>
            <w:tcW w:w="681" w:type="dxa"/>
            <w:vMerge w:val="continue"/>
            <w:tcBorders/>
            <w:vAlign w:val="center"/>
          </w:tcPr>
          <w:p>
            <w:pPr>
              <w:pStyle w:val="style0"/>
              <w:spacing w:lineRule="exact" w:line="240"/>
              <w:jc w:val="center"/>
              <w:rPr>
                <w:rFonts w:ascii="Times New Roman" w:eastAsia="宋体" w:hAnsi="Times New Roman"/>
                <w:sz w:val="18"/>
                <w:szCs w:val="18"/>
              </w:rPr>
            </w:pP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Ⅱ</w:t>
            </w:r>
          </w:p>
        </w:tc>
        <w:tc>
          <w:tcPr>
            <w:tcW w:w="488" w:type="dxa"/>
            <w:vMerge w:val="continue"/>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8</w:t>
            </w:r>
          </w:p>
        </w:tc>
        <w:tc>
          <w:tcPr>
            <w:tcW w:w="110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17</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79" w:type="dxa"/>
            <w:tcBorders/>
            <w:vAlign w:val="center"/>
          </w:tcPr>
          <w:p>
            <w:pPr>
              <w:pStyle w:val="style0"/>
              <w:spacing w:lineRule="exact" w:line="240"/>
              <w:jc w:val="center"/>
              <w:rPr>
                <w:rFonts w:ascii="Times New Roman" w:eastAsia="宋体" w:hAnsi="Times New Roman"/>
                <w:sz w:val="18"/>
                <w:szCs w:val="18"/>
              </w:rPr>
            </w:pPr>
          </w:p>
        </w:tc>
        <w:tc>
          <w:tcPr>
            <w:tcW w:w="682" w:type="dxa"/>
            <w:tcBorders/>
            <w:vAlign w:val="center"/>
          </w:tcPr>
          <w:p>
            <w:pPr>
              <w:pStyle w:val="style0"/>
              <w:spacing w:lineRule="exact" w:line="240"/>
              <w:jc w:val="center"/>
              <w:rPr>
                <w:rFonts w:ascii="Times New Roman" w:eastAsia="宋体" w:hAnsi="Times New Roman"/>
                <w:sz w:val="18"/>
                <w:szCs w:val="18"/>
              </w:rPr>
            </w:pPr>
          </w:p>
        </w:tc>
        <w:tc>
          <w:tcPr>
            <w:tcW w:w="893"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469" w:type="dxa"/>
            <w:tcBorders/>
            <w:vAlign w:val="center"/>
          </w:tcPr>
          <w:p>
            <w:pPr>
              <w:pStyle w:val="style0"/>
              <w:spacing w:lineRule="exact" w:line="240"/>
              <w:jc w:val="center"/>
              <w:rPr>
                <w:rFonts w:ascii="Times New Roman" w:eastAsia="宋体" w:hAnsi="Times New Roman"/>
                <w:sz w:val="18"/>
                <w:szCs w:val="18"/>
              </w:rPr>
            </w:pP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r>
      <w:tr>
        <w:tblPrEx/>
        <w:trPr>
          <w:cantSplit/>
          <w:trHeight w:val="20" w:hRule="atLeast"/>
          <w:jc w:val="center"/>
        </w:trPr>
        <w:tc>
          <w:tcPr>
            <w:tcW w:w="681" w:type="dxa"/>
            <w:vMerge w:val="restart"/>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二</w:t>
            </w: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III</w:t>
            </w:r>
          </w:p>
        </w:tc>
        <w:tc>
          <w:tcPr>
            <w:tcW w:w="488" w:type="dxa"/>
            <w:vMerge w:val="restart"/>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52</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4</w:t>
            </w:r>
          </w:p>
        </w:tc>
        <w:tc>
          <w:tcPr>
            <w:tcW w:w="110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17</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79" w:type="dxa"/>
            <w:tcBorders/>
            <w:vAlign w:val="center"/>
          </w:tcPr>
          <w:p>
            <w:pPr>
              <w:pStyle w:val="style0"/>
              <w:spacing w:lineRule="exact" w:line="240"/>
              <w:jc w:val="center"/>
              <w:rPr>
                <w:rFonts w:ascii="Times New Roman" w:eastAsia="宋体" w:hAnsi="Times New Roman"/>
                <w:sz w:val="18"/>
                <w:szCs w:val="18"/>
              </w:rPr>
            </w:pPr>
          </w:p>
        </w:tc>
        <w:tc>
          <w:tcPr>
            <w:tcW w:w="682" w:type="dxa"/>
            <w:tcBorders/>
            <w:vAlign w:val="center"/>
          </w:tcPr>
          <w:p>
            <w:pPr>
              <w:pStyle w:val="style0"/>
              <w:spacing w:lineRule="exact" w:line="240"/>
              <w:jc w:val="center"/>
              <w:rPr>
                <w:rFonts w:ascii="Times New Roman" w:eastAsia="宋体" w:hAnsi="Times New Roman"/>
                <w:sz w:val="18"/>
                <w:szCs w:val="18"/>
              </w:rPr>
            </w:pPr>
          </w:p>
        </w:tc>
        <w:tc>
          <w:tcPr>
            <w:tcW w:w="893"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469" w:type="dxa"/>
            <w:tcBorders/>
            <w:vAlign w:val="center"/>
          </w:tcPr>
          <w:p>
            <w:pPr>
              <w:pStyle w:val="style0"/>
              <w:spacing w:lineRule="exact" w:line="240"/>
              <w:jc w:val="center"/>
              <w:rPr>
                <w:rFonts w:ascii="Times New Roman" w:eastAsia="宋体" w:hAnsi="Times New Roman"/>
                <w:sz w:val="18"/>
                <w:szCs w:val="18"/>
              </w:rPr>
            </w:pP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r>
      <w:tr>
        <w:tblPrEx/>
        <w:trPr>
          <w:cantSplit/>
          <w:trHeight w:val="20" w:hRule="atLeast"/>
          <w:jc w:val="center"/>
        </w:trPr>
        <w:tc>
          <w:tcPr>
            <w:tcW w:w="681" w:type="dxa"/>
            <w:vMerge w:val="continue"/>
            <w:tcBorders/>
            <w:vAlign w:val="center"/>
          </w:tcPr>
          <w:p>
            <w:pPr>
              <w:pStyle w:val="style0"/>
              <w:spacing w:lineRule="exact" w:line="240"/>
              <w:jc w:val="center"/>
              <w:rPr>
                <w:rFonts w:ascii="Times New Roman" w:eastAsia="宋体" w:hAnsi="Times New Roman"/>
                <w:sz w:val="18"/>
                <w:szCs w:val="18"/>
              </w:rPr>
            </w:pP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IV</w:t>
            </w:r>
          </w:p>
        </w:tc>
        <w:tc>
          <w:tcPr>
            <w:tcW w:w="488" w:type="dxa"/>
            <w:vMerge w:val="continue"/>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8</w:t>
            </w:r>
          </w:p>
        </w:tc>
        <w:tc>
          <w:tcPr>
            <w:tcW w:w="110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17</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79" w:type="dxa"/>
            <w:tcBorders/>
            <w:vAlign w:val="center"/>
          </w:tcPr>
          <w:p>
            <w:pPr>
              <w:pStyle w:val="style0"/>
              <w:spacing w:lineRule="exact" w:line="240"/>
              <w:jc w:val="center"/>
              <w:rPr>
                <w:rFonts w:ascii="Times New Roman" w:eastAsia="宋体" w:hAnsi="Times New Roman"/>
                <w:sz w:val="18"/>
                <w:szCs w:val="18"/>
              </w:rPr>
            </w:pPr>
          </w:p>
        </w:tc>
        <w:tc>
          <w:tcPr>
            <w:tcW w:w="682" w:type="dxa"/>
            <w:tcBorders/>
            <w:vAlign w:val="center"/>
          </w:tcPr>
          <w:p>
            <w:pPr>
              <w:pStyle w:val="style0"/>
              <w:spacing w:lineRule="exact" w:line="240"/>
              <w:jc w:val="center"/>
              <w:rPr>
                <w:rFonts w:ascii="Times New Roman" w:eastAsia="宋体" w:hAnsi="Times New Roman"/>
                <w:sz w:val="18"/>
                <w:szCs w:val="18"/>
              </w:rPr>
            </w:pPr>
          </w:p>
        </w:tc>
        <w:tc>
          <w:tcPr>
            <w:tcW w:w="893"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469" w:type="dxa"/>
            <w:tcBorders/>
            <w:vAlign w:val="center"/>
          </w:tcPr>
          <w:p>
            <w:pPr>
              <w:pStyle w:val="style0"/>
              <w:spacing w:lineRule="exact" w:line="240"/>
              <w:jc w:val="center"/>
              <w:rPr>
                <w:rFonts w:ascii="Times New Roman" w:eastAsia="宋体" w:hAnsi="Times New Roman"/>
                <w:sz w:val="18"/>
                <w:szCs w:val="18"/>
              </w:rPr>
            </w:pP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r>
      <w:tr>
        <w:tblPrEx/>
        <w:trPr>
          <w:cantSplit/>
          <w:trHeight w:val="20" w:hRule="atLeast"/>
          <w:jc w:val="center"/>
        </w:trPr>
        <w:tc>
          <w:tcPr>
            <w:tcW w:w="681" w:type="dxa"/>
            <w:vMerge w:val="restart"/>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三</w:t>
            </w: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V</w:t>
            </w:r>
          </w:p>
        </w:tc>
        <w:tc>
          <w:tcPr>
            <w:tcW w:w="488" w:type="dxa"/>
            <w:vMerge w:val="restart"/>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52</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4</w:t>
            </w:r>
          </w:p>
        </w:tc>
        <w:tc>
          <w:tcPr>
            <w:tcW w:w="110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14</w:t>
            </w: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c>
          <w:tcPr>
            <w:tcW w:w="679"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82" w:type="dxa"/>
            <w:tcBorders/>
            <w:vAlign w:val="center"/>
          </w:tcPr>
          <w:p>
            <w:pPr>
              <w:pStyle w:val="style0"/>
              <w:spacing w:lineRule="exact" w:line="240"/>
              <w:jc w:val="center"/>
              <w:rPr>
                <w:rFonts w:ascii="Times New Roman" w:eastAsia="宋体" w:hAnsi="Times New Roman"/>
                <w:sz w:val="18"/>
                <w:szCs w:val="18"/>
              </w:rPr>
            </w:pPr>
          </w:p>
        </w:tc>
        <w:tc>
          <w:tcPr>
            <w:tcW w:w="89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2</w:t>
            </w: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469" w:type="dxa"/>
            <w:tcBorders/>
            <w:vAlign w:val="center"/>
          </w:tcPr>
          <w:p>
            <w:pPr>
              <w:pStyle w:val="style0"/>
              <w:spacing w:lineRule="exact" w:line="240"/>
              <w:jc w:val="center"/>
              <w:rPr>
                <w:rFonts w:ascii="Times New Roman" w:eastAsia="宋体" w:hAnsi="Times New Roman"/>
                <w:sz w:val="18"/>
                <w:szCs w:val="18"/>
              </w:rPr>
            </w:pP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r>
      <w:tr>
        <w:tblPrEx/>
        <w:trPr>
          <w:cantSplit/>
          <w:trHeight w:val="20" w:hRule="atLeast"/>
          <w:jc w:val="center"/>
        </w:trPr>
        <w:tc>
          <w:tcPr>
            <w:tcW w:w="681" w:type="dxa"/>
            <w:vMerge w:val="continue"/>
            <w:tcBorders/>
            <w:vAlign w:val="center"/>
          </w:tcPr>
          <w:p>
            <w:pPr>
              <w:pStyle w:val="style0"/>
              <w:spacing w:lineRule="exact" w:line="240"/>
              <w:jc w:val="center"/>
              <w:rPr>
                <w:rFonts w:ascii="Times New Roman" w:eastAsia="宋体" w:hAnsi="Times New Roman"/>
                <w:sz w:val="18"/>
                <w:szCs w:val="18"/>
              </w:rPr>
            </w:pPr>
          </w:p>
        </w:tc>
        <w:tc>
          <w:tcPr>
            <w:tcW w:w="576"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VI</w:t>
            </w:r>
          </w:p>
        </w:tc>
        <w:tc>
          <w:tcPr>
            <w:tcW w:w="488" w:type="dxa"/>
            <w:vMerge w:val="continue"/>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sz w:val="18"/>
                <w:szCs w:val="18"/>
              </w:rPr>
              <w:t>20</w:t>
            </w:r>
          </w:p>
        </w:tc>
        <w:tc>
          <w:tcPr>
            <w:tcW w:w="753"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8</w:t>
            </w:r>
          </w:p>
        </w:tc>
        <w:tc>
          <w:tcPr>
            <w:tcW w:w="1105"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679" w:type="dxa"/>
            <w:tcBorders/>
            <w:vAlign w:val="center"/>
          </w:tcPr>
          <w:p>
            <w:pPr>
              <w:pStyle w:val="style0"/>
              <w:spacing w:lineRule="exact" w:line="240"/>
              <w:jc w:val="center"/>
              <w:rPr>
                <w:rFonts w:ascii="Times New Roman" w:eastAsia="宋体" w:hAnsi="Times New Roman"/>
                <w:sz w:val="18"/>
                <w:szCs w:val="18"/>
              </w:rPr>
            </w:pPr>
          </w:p>
        </w:tc>
        <w:tc>
          <w:tcPr>
            <w:tcW w:w="682"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18</w:t>
            </w:r>
          </w:p>
        </w:tc>
        <w:tc>
          <w:tcPr>
            <w:tcW w:w="893" w:type="dxa"/>
            <w:tcBorders/>
            <w:vAlign w:val="center"/>
          </w:tcPr>
          <w:p>
            <w:pPr>
              <w:pStyle w:val="style0"/>
              <w:spacing w:lineRule="exact" w:line="240"/>
              <w:jc w:val="center"/>
              <w:rPr>
                <w:rFonts w:ascii="Times New Roman" w:eastAsia="宋体" w:hAnsi="Times New Roman"/>
                <w:sz w:val="18"/>
                <w:szCs w:val="18"/>
              </w:rPr>
            </w:pPr>
          </w:p>
        </w:tc>
        <w:tc>
          <w:tcPr>
            <w:tcW w:w="681" w:type="dxa"/>
            <w:tcBorders/>
            <w:vAlign w:val="center"/>
          </w:tcPr>
          <w:p>
            <w:pPr>
              <w:pStyle w:val="style0"/>
              <w:spacing w:lineRule="exact" w:line="240"/>
              <w:jc w:val="center"/>
              <w:rPr>
                <w:rFonts w:ascii="Times New Roman" w:eastAsia="宋体" w:hAnsi="Times New Roman"/>
                <w:sz w:val="18"/>
                <w:szCs w:val="18"/>
              </w:rPr>
            </w:pPr>
          </w:p>
        </w:tc>
        <w:tc>
          <w:tcPr>
            <w:tcW w:w="469"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w:t>
            </w:r>
          </w:p>
        </w:tc>
        <w:tc>
          <w:tcPr>
            <w:tcW w:w="465"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sz w:val="18"/>
                <w:szCs w:val="18"/>
              </w:rPr>
              <w:t>1</w:t>
            </w:r>
          </w:p>
        </w:tc>
      </w:tr>
      <w:tr>
        <w:tblPrEx/>
        <w:trPr>
          <w:cantSplit/>
          <w:trHeight w:val="20" w:hRule="atLeast"/>
          <w:jc w:val="center"/>
        </w:trPr>
        <w:tc>
          <w:tcPr>
            <w:tcW w:w="681"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合计</w:t>
            </w:r>
          </w:p>
        </w:tc>
        <w:tc>
          <w:tcPr>
            <w:tcW w:w="576" w:type="dxa"/>
            <w:tcBorders/>
            <w:vAlign w:val="center"/>
          </w:tcPr>
          <w:p>
            <w:pPr>
              <w:pStyle w:val="style0"/>
              <w:spacing w:lineRule="exact" w:line="240"/>
              <w:jc w:val="center"/>
              <w:rPr>
                <w:rFonts w:ascii="Times New Roman" w:eastAsia="宋体" w:hAnsi="Times New Roman"/>
                <w:sz w:val="18"/>
                <w:szCs w:val="18"/>
              </w:rPr>
            </w:pPr>
          </w:p>
        </w:tc>
        <w:tc>
          <w:tcPr>
            <w:tcW w:w="488" w:type="dxa"/>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156</w:t>
            </w:r>
          </w:p>
        </w:tc>
        <w:tc>
          <w:tcPr>
            <w:tcW w:w="1434" w:type="dxa"/>
            <w:gridSpan w:val="2"/>
            <w:tcBorders/>
            <w:vAlign w:val="center"/>
          </w:tcPr>
          <w:p>
            <w:pPr>
              <w:pStyle w:val="style0"/>
              <w:spacing w:lineRule="exact" w:line="240"/>
              <w:jc w:val="center"/>
              <w:rPr>
                <w:rFonts w:ascii="Times New Roman" w:eastAsia="宋体" w:hAnsi="Times New Roman"/>
                <w:sz w:val="18"/>
                <w:szCs w:val="18"/>
              </w:rPr>
            </w:pPr>
            <w:r>
              <w:rPr>
                <w:rFonts w:ascii="Times New Roman" w:eastAsia="宋体" w:hAnsi="Times New Roman" w:hint="eastAsia"/>
                <w:sz w:val="18"/>
                <w:szCs w:val="18"/>
              </w:rPr>
              <w:t>156</w:t>
            </w:r>
          </w:p>
        </w:tc>
        <w:tc>
          <w:tcPr>
            <w:tcW w:w="5655" w:type="dxa"/>
            <w:gridSpan w:val="8"/>
            <w:tcBorders/>
            <w:vAlign w:val="center"/>
          </w:tcPr>
          <w:p>
            <w:pPr>
              <w:pStyle w:val="style4104"/>
              <w:widowControl w:val="false"/>
              <w:pBdr>
                <w:left w:val="none" w:sz="0" w:space="0" w:color="auto"/>
                <w:right w:val="none" w:sz="0" w:space="0" w:color="auto"/>
              </w:pBdr>
              <w:spacing w:before="0" w:beforeAutospacing="false" w:after="0" w:afterAutospacing="false" w:lineRule="exact" w:line="240"/>
              <w:textAlignment w:val="auto"/>
              <w:rPr>
                <w:rFonts w:ascii="Times New Roman" w:eastAsia="宋体" w:hAnsi="Times New Roman"/>
                <w:kern w:val="2"/>
                <w:sz w:val="18"/>
                <w:szCs w:val="18"/>
              </w:rPr>
            </w:pPr>
            <w:r>
              <w:rPr>
                <w:rFonts w:ascii="Times New Roman" w:eastAsia="宋体" w:hAnsi="Times New Roman" w:hint="eastAsia"/>
                <w:kern w:val="2"/>
                <w:sz w:val="18"/>
                <w:szCs w:val="18"/>
              </w:rPr>
              <w:t>120</w:t>
            </w:r>
          </w:p>
        </w:tc>
      </w:tr>
    </w:tbl>
    <w:p>
      <w:pPr>
        <w:pStyle w:val="style0"/>
        <w:spacing w:lineRule="exact" w:line="400"/>
        <w:rPr>
          <w:rFonts w:ascii="Times New Roman" w:eastAsia="宋体" w:hAnsi="Times New Roman"/>
        </w:rPr>
      </w:pPr>
      <w:r>
        <w:rPr>
          <w:rFonts w:ascii="Times New Roman" w:eastAsia="宋体" w:hAnsi="Times New Roman" w:hint="eastAsia"/>
        </w:rPr>
        <w:t xml:space="preserve">    </w:t>
      </w:r>
    </w:p>
    <w:p>
      <w:pPr>
        <w:pStyle w:val="style0"/>
        <w:spacing w:lineRule="exact" w:line="400"/>
        <w:ind w:firstLine="210" w:firstLineChars="100"/>
        <w:rPr>
          <w:rFonts w:ascii="Times New Roman" w:eastAsia="宋体" w:hAnsi="Times New Roman"/>
          <w:szCs w:val="21"/>
        </w:rPr>
      </w:pPr>
      <w:r>
        <w:rPr>
          <w:rFonts w:ascii="Times New Roman" w:eastAsia="宋体" w:hAnsi="Times New Roman" w:hint="eastAsia"/>
        </w:rPr>
        <w:t>（二）</w:t>
      </w:r>
      <w:r>
        <w:rPr>
          <w:rFonts w:ascii="Times New Roman" w:eastAsia="宋体" w:hAnsi="Times New Roman" w:hint="eastAsia"/>
          <w:szCs w:val="21"/>
        </w:rPr>
        <w:t>教学进程表</w:t>
      </w:r>
    </w:p>
    <w:tbl>
      <w:tblPr>
        <w:tblStyle w:val="style105"/>
        <w:tblW w:w="4843" w:type="pct"/>
        <w:jc w:val="center"/>
        <w:tblLayout w:type="fixed"/>
        <w:tblCellMar>
          <w:top w:w="0" w:type="dxa"/>
          <w:left w:w="108" w:type="dxa"/>
          <w:bottom w:w="0" w:type="dxa"/>
          <w:right w:w="108" w:type="dxa"/>
        </w:tblCellMar>
      </w:tblPr>
      <w:tblGrid>
        <w:gridCol w:w="367"/>
        <w:gridCol w:w="366"/>
        <w:gridCol w:w="365"/>
        <w:gridCol w:w="965"/>
        <w:gridCol w:w="994"/>
        <w:gridCol w:w="418"/>
        <w:gridCol w:w="491"/>
        <w:gridCol w:w="489"/>
        <w:gridCol w:w="443"/>
        <w:gridCol w:w="515"/>
        <w:gridCol w:w="513"/>
        <w:gridCol w:w="513"/>
        <w:gridCol w:w="512"/>
        <w:gridCol w:w="507"/>
        <w:gridCol w:w="515"/>
        <w:gridCol w:w="584"/>
      </w:tblGrid>
      <w:tr>
        <w:trPr>
          <w:trHeight w:val="300" w:hRule="atLeast"/>
          <w:jc w:val="center"/>
        </w:trPr>
        <w:tc>
          <w:tcPr>
            <w:tcW w:w="4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课程类别</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课程序号</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课程名称</w:t>
            </w:r>
          </w:p>
        </w:tc>
        <w:tc>
          <w:tcPr>
            <w:tcW w:w="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课程代码</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学分</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kern w:val="0"/>
                <w:sz w:val="15"/>
                <w:szCs w:val="15"/>
              </w:rPr>
            </w:pPr>
            <w:r>
              <w:rPr>
                <w:rFonts w:ascii="Times New Roman" w:cs="宋体" w:eastAsia="宋体" w:hAnsi="Times New Roman" w:hint="eastAsia"/>
                <w:b/>
                <w:bCs/>
                <w:kern w:val="0"/>
                <w:sz w:val="15"/>
                <w:szCs w:val="15"/>
              </w:rPr>
              <w:t>课时</w:t>
            </w:r>
          </w:p>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总计</w:t>
            </w:r>
          </w:p>
        </w:tc>
        <w:tc>
          <w:tcPr>
            <w:tcW w:w="54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课时分配</w:t>
            </w:r>
          </w:p>
        </w:tc>
        <w:tc>
          <w:tcPr>
            <w:tcW w:w="179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学年及学期</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kern w:val="0"/>
                <w:sz w:val="15"/>
                <w:szCs w:val="15"/>
              </w:rPr>
            </w:pPr>
            <w:r>
              <w:rPr>
                <w:rFonts w:ascii="Times New Roman" w:cs="宋体" w:eastAsia="宋体" w:hAnsi="Times New Roman" w:hint="eastAsia"/>
                <w:b/>
                <w:bCs/>
                <w:kern w:val="0"/>
                <w:sz w:val="15"/>
                <w:szCs w:val="15"/>
              </w:rPr>
              <w:t>考试</w:t>
            </w:r>
          </w:p>
          <w:p>
            <w:pPr>
              <w:pStyle w:val="style0"/>
              <w:widowControl/>
              <w:spacing w:lineRule="exact" w:line="200"/>
              <w:jc w:val="center"/>
              <w:textAlignment w:val="center"/>
              <w:rPr>
                <w:rFonts w:ascii="Times New Roman" w:cs="宋体" w:eastAsia="宋体" w:hAnsi="Times New Roman"/>
                <w:b/>
                <w:bCs/>
                <w:kern w:val="0"/>
                <w:sz w:val="15"/>
                <w:szCs w:val="15"/>
              </w:rPr>
            </w:pPr>
            <w:r>
              <w:rPr>
                <w:rFonts w:ascii="Times New Roman" w:cs="宋体" w:eastAsia="宋体" w:hAnsi="Times New Roman" w:hint="eastAsia"/>
                <w:b/>
                <w:bCs/>
                <w:kern w:val="0"/>
                <w:sz w:val="15"/>
                <w:szCs w:val="15"/>
              </w:rPr>
              <w:t>（大写）</w:t>
            </w:r>
          </w:p>
          <w:p>
            <w:pPr>
              <w:pStyle w:val="style0"/>
              <w:widowControl/>
              <w:spacing w:lineRule="exact" w:line="200"/>
              <w:jc w:val="center"/>
              <w:textAlignment w:val="center"/>
              <w:rPr>
                <w:rFonts w:ascii="Times New Roman" w:cs="宋体" w:eastAsia="宋体" w:hAnsi="Times New Roman"/>
                <w:b/>
                <w:bCs/>
                <w:kern w:val="0"/>
                <w:sz w:val="15"/>
                <w:szCs w:val="15"/>
              </w:rPr>
            </w:pPr>
            <w:r>
              <w:rPr>
                <w:rFonts w:ascii="Times New Roman" w:cs="宋体" w:eastAsia="宋体" w:hAnsi="Times New Roman" w:hint="eastAsia"/>
                <w:b/>
                <w:bCs/>
                <w:kern w:val="0"/>
                <w:sz w:val="15"/>
                <w:szCs w:val="15"/>
              </w:rPr>
              <w:t>考查</w:t>
            </w:r>
          </w:p>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（小写）</w:t>
            </w:r>
          </w:p>
        </w:tc>
      </w:tr>
      <w:tr>
        <w:tblPrEx/>
        <w:trPr>
          <w:trHeight w:val="300" w:hRule="atLeast"/>
          <w:jc w:val="center"/>
        </w:trPr>
        <w:tc>
          <w:tcPr>
            <w:tcW w:w="428" w:type="pct"/>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13"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6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8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7"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45" w:type="pct"/>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179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（教学周数*周学时数）</w:t>
            </w: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r>
      <w:tr>
        <w:tblPrEx/>
        <w:trPr>
          <w:trHeight w:val="300" w:hRule="atLeast"/>
          <w:jc w:val="center"/>
        </w:trPr>
        <w:tc>
          <w:tcPr>
            <w:tcW w:w="428" w:type="pct"/>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13"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6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8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7"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理论课</w:t>
            </w:r>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实训课</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1学年</w:t>
            </w:r>
          </w:p>
        </w:tc>
        <w:tc>
          <w:tcPr>
            <w:tcW w:w="5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2学年</w:t>
            </w:r>
          </w:p>
        </w:tc>
        <w:tc>
          <w:tcPr>
            <w:tcW w:w="5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3学年</w:t>
            </w: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r>
      <w:tr>
        <w:tblPrEx/>
        <w:trPr>
          <w:trHeight w:val="270" w:hRule="atLeast"/>
          <w:jc w:val="center"/>
        </w:trPr>
        <w:tc>
          <w:tcPr>
            <w:tcW w:w="428" w:type="pct"/>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13"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6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8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7"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6"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5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3</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4</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5</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6</w:t>
            </w: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r>
      <w:tr>
        <w:tblPrEx/>
        <w:trPr>
          <w:trHeight w:val="270" w:hRule="atLeast"/>
          <w:jc w:val="center"/>
        </w:trPr>
        <w:tc>
          <w:tcPr>
            <w:tcW w:w="428" w:type="pct"/>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13"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6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58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7"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86"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25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17</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17</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17</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16</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b/>
                <w:bCs/>
                <w:sz w:val="15"/>
                <w:szCs w:val="15"/>
              </w:rPr>
            </w:pPr>
            <w:r>
              <w:rPr>
                <w:rFonts w:ascii="Times New Roman" w:cs="宋体" w:eastAsia="宋体" w:hAnsi="Times New Roman" w:hint="eastAsia"/>
                <w:b/>
                <w:bCs/>
                <w:kern w:val="0"/>
                <w:sz w:val="15"/>
                <w:szCs w:val="15"/>
              </w:rPr>
              <w:t>18</w:t>
            </w: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b/>
                <w:bCs/>
                <w:sz w:val="15"/>
                <w:szCs w:val="15"/>
              </w:rPr>
            </w:pPr>
          </w:p>
        </w:tc>
      </w:tr>
      <w:tr>
        <w:tblPrEx/>
        <w:trPr>
          <w:trHeight w:val="480" w:hRule="atLeast"/>
          <w:jc w:val="center"/>
        </w:trPr>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必修课</w:t>
            </w: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公共基础课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军事理论</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14*1+4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一</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军事训练</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112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112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思想道德与法治</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14*3+6</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大学生心理健康教育</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16*1+16</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大学生创新创业基础</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综合英语</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16*3</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一二</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形势与政策</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大学生安全教育</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4*1</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4*1</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体育与健康</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118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110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10</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实用大学数学</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二</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11</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信息技术</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r>
      <w:tr>
        <w:tblPrEx/>
        <w:trPr>
          <w:trHeight w:val="90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毛泽东思想和中国特色社会主义理论体系概论</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nil"/>
              <w:left w:val="nil"/>
              <w:bottom w:val="nil"/>
              <w:right w:val="nil"/>
            </w:tcBorders>
            <w:shd w:val="clear" w:color="auto" w:fill="auto"/>
            <w:noWrap/>
            <w:vAlign w:val="center"/>
          </w:tcPr>
          <w:p>
            <w:pPr>
              <w:pStyle w:val="style0"/>
              <w:widowControl/>
              <w:spacing w:lineRule="exact" w:line="200"/>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13</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红色文化</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职业生涯规划</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23</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五粮文化育人学思践悟</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4*2</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23</w:t>
            </w:r>
          </w:p>
        </w:tc>
      </w:tr>
      <w:tr>
        <w:tblPrEx/>
        <w:trPr>
          <w:trHeight w:val="675"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习近平新时代中国特色社会主义思想概论</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16*2</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17</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大学生就业指导</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16*1+16</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18</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*劳动教育</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5102031160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1345</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19</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*大学生健康教育</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20</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第二课堂（创新创业实践）</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5102031161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12345</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21</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第二课堂（其他）</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5102031162</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12345</w:t>
            </w:r>
          </w:p>
        </w:tc>
      </w:tr>
      <w:tr>
        <w:tblPrEx/>
        <w:trPr>
          <w:trHeight w:val="30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小计（周课时不含网络课程）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Times New Roman" w:eastAsia="等线" w:hAnsi="Times New Roman"/>
                <w:color w:val="000000"/>
                <w:sz w:val="15"/>
                <w:szCs w:val="15"/>
              </w:rPr>
              <w:t>50</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Times New Roman" w:eastAsia="等线" w:hAnsi="Times New Roman"/>
                <w:color w:val="000000"/>
                <w:sz w:val="15"/>
                <w:szCs w:val="15"/>
              </w:rPr>
              <w:t>888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Times New Roman" w:eastAsia="等线" w:hAnsi="Times New Roman"/>
                <w:color w:val="000000"/>
                <w:sz w:val="15"/>
                <w:szCs w:val="15"/>
              </w:rPr>
              <w:t>508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Times New Roman" w:eastAsia="等线" w:hAnsi="Times New Roman"/>
                <w:color w:val="000000"/>
                <w:sz w:val="15"/>
                <w:szCs w:val="15"/>
              </w:rPr>
              <w:t>380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15</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14.5</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4.5</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5.5</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bottom"/>
              <w:rPr>
                <w:rFonts w:ascii="Times New Roman" w:cs="宋体" w:eastAsia="宋体" w:hAnsi="Times New Roman"/>
                <w:sz w:val="15"/>
                <w:szCs w:val="15"/>
              </w:rPr>
            </w:pPr>
            <w:r>
              <w:rPr>
                <w:rFonts w:ascii="Times New Roman" w:cs="宋体" w:eastAsia="宋体" w:hAnsi="Times New Roman" w:hint="eastAsia"/>
                <w:kern w:val="0"/>
                <w:sz w:val="15"/>
                <w:szCs w:val="15"/>
              </w:rPr>
              <w:t>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r>
      <w:tr>
        <w:tblPrEx/>
        <w:trPr>
          <w:trHeight w:val="425" w:hRule="atLeast"/>
          <w:jc w:val="center"/>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群内专业</w:t>
            </w:r>
          </w:p>
        </w:tc>
      </w:tr>
      <w:tr>
        <w:tblPrEx/>
        <w:trPr>
          <w:trHeight w:val="300" w:hRule="atLeast"/>
          <w:jc w:val="center"/>
        </w:trPr>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必修课</w:t>
            </w: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平台共享课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计算机网络技术</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17*4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四</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Python程序设计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N5102031236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14*4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五</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数据库技术</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17*4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二</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Linux操作系统</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5102031222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17*4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三</w:t>
            </w:r>
          </w:p>
        </w:tc>
      </w:tr>
      <w:tr>
        <w:tblPrEx/>
        <w:trPr>
          <w:trHeight w:val="30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特色分立课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Java程序设计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5102031210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7*8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二</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使用JavaScript增强网页交互效果</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14*4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一</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Java面向对象编程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80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10*8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二</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使用JSP/Servlet/Ajax技术开发B/S系统</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8.5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136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17*8</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三</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软件测试入门</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5102031224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17*4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四</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Web前端基础</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17*4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三</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人工智能应用技术</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5102031239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14*4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五</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微信小程序</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5102031226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17*4</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三</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企业级框架开发</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N510203122A</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17*4</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四</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区块链应用开发</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14*4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五</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移动应用开发</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5102031238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14*4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五</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JS函数集开发</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N510203122B</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68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17*4</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四</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企业级框架MVVM</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N5102031232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14*4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五</w:t>
            </w:r>
          </w:p>
        </w:tc>
      </w:tr>
      <w:tr>
        <w:tblPrEx/>
        <w:trPr>
          <w:trHeight w:val="532"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互选拓展课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网页设计与制作</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5102031240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56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28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14*4</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sz w:val="15"/>
                <w:szCs w:val="15"/>
              </w:rPr>
              <w:t>1</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restart"/>
            <w:tcBorders>
              <w:top w:val="nil"/>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专业实践课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综合实训</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C5102031330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48</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2*24</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五</w:t>
            </w:r>
          </w:p>
        </w:tc>
      </w:tr>
      <w:tr>
        <w:tblPrEx/>
        <w:trPr>
          <w:trHeight w:val="27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nil"/>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岗位实习</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5102031360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260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200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13W</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w:t>
            </w:r>
          </w:p>
        </w:tc>
      </w:tr>
      <w:tr>
        <w:tblPrEx/>
        <w:trPr>
          <w:trHeight w:val="45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4" w:type="pct"/>
            <w:vMerge w:val="continue"/>
            <w:tcBorders>
              <w:top w:val="nil"/>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毕业论文（毕业设计）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5102031361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100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5W</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6</w:t>
            </w:r>
          </w:p>
        </w:tc>
      </w:tr>
      <w:tr>
        <w:tblPrEx/>
        <w:trPr>
          <w:trHeight w:val="300" w:hRule="atLeast"/>
          <w:jc w:val="center"/>
        </w:trPr>
        <w:tc>
          <w:tcPr>
            <w:tcW w:w="21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highlight w:val="yellow"/>
              </w:rPr>
            </w:pPr>
            <w:r>
              <w:rPr>
                <w:rFonts w:ascii="Times New Roman" w:cs="宋体" w:eastAsia="宋体" w:hAnsi="Times New Roman" w:hint="eastAsia"/>
                <w:kern w:val="0"/>
                <w:sz w:val="15"/>
                <w:szCs w:val="15"/>
              </w:rPr>
              <w:t>小计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Times New Roman" w:eastAsia="等线" w:hAnsi="Times New Roman"/>
                <w:color w:val="000000"/>
                <w:sz w:val="15"/>
                <w:szCs w:val="15"/>
              </w:rPr>
              <w:t>99.5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Times New Roman" w:eastAsia="等线" w:hAnsi="Times New Roman"/>
                <w:color w:val="000000"/>
                <w:sz w:val="15"/>
                <w:szCs w:val="15"/>
              </w:rPr>
              <w:t>1616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Times New Roman" w:eastAsia="等线" w:hAnsi="Times New Roman"/>
                <w:color w:val="000000"/>
                <w:sz w:val="15"/>
                <w:szCs w:val="15"/>
              </w:rPr>
              <w:t>694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Times New Roman" w:eastAsia="等线" w:hAnsi="Times New Roman"/>
                <w:color w:val="000000"/>
                <w:sz w:val="15"/>
                <w:szCs w:val="15"/>
              </w:rPr>
              <w:t>922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12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20</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16</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hint="eastAsia"/>
                <w:sz w:val="15"/>
                <w:szCs w:val="15"/>
              </w:rPr>
              <w:t>22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r>
      <w:tr>
        <w:tblPrEx/>
        <w:trPr>
          <w:trHeight w:val="300" w:hRule="atLeast"/>
          <w:jc w:val="center"/>
        </w:trPr>
        <w:tc>
          <w:tcPr>
            <w:tcW w:w="214" w:type="pct"/>
            <w:vMerge w:val="restart"/>
            <w:tcBorders>
              <w:top w:val="single" w:sz="4" w:space="0" w:color="000000"/>
              <w:left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r>
              <w:rPr>
                <w:rFonts w:ascii="Times New Roman" w:cs="宋体" w:eastAsia="宋体" w:hAnsi="Times New Roman" w:hint="eastAsia"/>
                <w:kern w:val="0"/>
                <w:sz w:val="15"/>
                <w:szCs w:val="15"/>
              </w:rPr>
              <w:t>选修课</w:t>
            </w:r>
          </w:p>
        </w:tc>
        <w:tc>
          <w:tcPr>
            <w:tcW w:w="214" w:type="pct"/>
            <w:vMerge w:val="restart"/>
            <w:tcBorders>
              <w:top w:val="single" w:sz="4" w:space="0" w:color="000000"/>
              <w:left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公共选修课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人文素养类课程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9999991550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34</w:t>
            </w:r>
          </w:p>
        </w:tc>
      </w:tr>
      <w:tr>
        <w:tblPrEx/>
        <w:trPr>
          <w:trHeight w:val="300" w:hRule="atLeast"/>
          <w:jc w:val="center"/>
        </w:trPr>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创新创业管理类课程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9999991551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r>
      <w:tr>
        <w:tblPrEx/>
        <w:trPr>
          <w:trHeight w:val="300" w:hRule="atLeast"/>
          <w:jc w:val="center"/>
        </w:trPr>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科学素养类课程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9999991552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r>
      <w:tr>
        <w:tblPrEx/>
        <w:trPr>
          <w:trHeight w:val="300" w:hRule="atLeast"/>
          <w:jc w:val="center"/>
        </w:trPr>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信息素养类课程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9999991553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r>
      <w:tr>
        <w:tblPrEx/>
        <w:trPr>
          <w:trHeight w:val="300" w:hRule="atLeast"/>
          <w:jc w:val="center"/>
        </w:trPr>
        <w:tc>
          <w:tcPr>
            <w:tcW w:w="214" w:type="pct"/>
            <w:vMerge w:val="continue"/>
            <w:tcBorders>
              <w:left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214" w:type="pct"/>
            <w:vMerge w:val="continue"/>
            <w:tcBorders>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5</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highlight w:val="yellow"/>
              </w:rPr>
            </w:pPr>
            <w:r>
              <w:rPr>
                <w:rFonts w:ascii="Times New Roman" w:cs="宋体" w:eastAsia="宋体" w:hAnsi="Times New Roman" w:hint="eastAsia"/>
                <w:kern w:val="0"/>
                <w:sz w:val="15"/>
                <w:szCs w:val="15"/>
              </w:rPr>
              <w:t>美育类课程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9999991560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72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32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14*2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4*1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16*1</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15*2</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8*1</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12345</w:t>
            </w:r>
          </w:p>
        </w:tc>
      </w:tr>
      <w:tr>
        <w:tblPrEx/>
        <w:trPr>
          <w:trHeight w:val="300" w:hRule="atLeast"/>
          <w:jc w:val="center"/>
        </w:trPr>
        <w:tc>
          <w:tcPr>
            <w:tcW w:w="214" w:type="pct"/>
            <w:vMerge w:val="continue"/>
            <w:tcBorders>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highlight w:val="yellow"/>
              </w:rPr>
            </w:pPr>
          </w:p>
        </w:tc>
        <w:tc>
          <w:tcPr>
            <w:tcW w:w="991" w:type="pct"/>
            <w:gridSpan w:val="3"/>
            <w:tcBorders>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小计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Times New Roman" w:eastAsia="等线" w:hAnsi="Times New Roman"/>
                <w:color w:val="000000"/>
                <w:sz w:val="15"/>
                <w:szCs w:val="15"/>
              </w:rPr>
              <w:t>13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Times New Roman" w:eastAsia="等线" w:hAnsi="Times New Roman"/>
                <w:color w:val="000000"/>
                <w:sz w:val="15"/>
                <w:szCs w:val="15"/>
              </w:rPr>
              <w:t>192</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Times New Roman" w:eastAsia="等线" w:hAnsi="Times New Roman"/>
                <w:color w:val="000000"/>
                <w:sz w:val="15"/>
                <w:szCs w:val="15"/>
              </w:rPr>
              <w:t>152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Times New Roman" w:eastAsia="等线" w:hAnsi="Times New Roman"/>
                <w:color w:val="000000"/>
                <w:sz w:val="15"/>
                <w:szCs w:val="15"/>
              </w:rPr>
              <w:t>40</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3</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4</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kern w:val="0"/>
                <w:sz w:val="15"/>
                <w:szCs w:val="15"/>
              </w:rPr>
            </w:pPr>
          </w:p>
        </w:tc>
      </w:tr>
      <w:tr>
        <w:tblPrEx/>
        <w:trPr>
          <w:trHeight w:val="300" w:hRule="atLeast"/>
          <w:jc w:val="center"/>
        </w:trPr>
        <w:tc>
          <w:tcPr>
            <w:tcW w:w="120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textAlignment w:val="center"/>
              <w:rPr>
                <w:rFonts w:ascii="Times New Roman" w:cs="宋体" w:eastAsia="宋体" w:hAnsi="Times New Roman"/>
                <w:sz w:val="15"/>
                <w:szCs w:val="15"/>
              </w:rPr>
            </w:pPr>
            <w:r>
              <w:rPr>
                <w:rFonts w:ascii="Times New Roman" w:cs="宋体" w:eastAsia="宋体" w:hAnsi="Times New Roman" w:hint="eastAsia"/>
                <w:kern w:val="0"/>
                <w:sz w:val="15"/>
                <w:szCs w:val="15"/>
              </w:rPr>
              <w:t>总计（周课时未含网络课程）</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162.5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2696</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1354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widowControl/>
              <w:spacing w:lineRule="exact" w:line="200"/>
              <w:jc w:val="center"/>
              <w:textAlignment w:val="center"/>
              <w:rPr>
                <w:rFonts w:ascii="Times New Roman" w:cs="宋体" w:eastAsia="宋体" w:hAnsi="Times New Roman"/>
                <w:kern w:val="0"/>
                <w:sz w:val="15"/>
                <w:szCs w:val="15"/>
              </w:rPr>
            </w:pPr>
            <w:r>
              <w:rPr>
                <w:rFonts w:ascii="Times New Roman" w:cs="宋体" w:eastAsia="宋体" w:hAnsi="Times New Roman" w:hint="eastAsia"/>
                <w:kern w:val="0"/>
                <w:sz w:val="15"/>
                <w:szCs w:val="15"/>
              </w:rPr>
              <w:t>1342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cs="宋体" w:eastAsia="宋体" w:hAnsi="Times New Roman"/>
                <w:sz w:val="15"/>
                <w:szCs w:val="15"/>
                <w:lang w:val="en-US"/>
              </w:rPr>
              <w:t>25</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sz w:val="15"/>
                <w:szCs w:val="15"/>
                <w:lang w:val="en-US"/>
              </w:rPr>
              <w:t>26.5</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sz w:val="15"/>
                <w:szCs w:val="15"/>
                <w:lang w:val="en-US"/>
              </w:rPr>
              <w:t>27.5</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sz w:val="15"/>
                <w:szCs w:val="15"/>
                <w:lang w:val="en-US"/>
              </w:rPr>
              <w:t>25.5</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r>
              <w:rPr>
                <w:rFonts w:ascii="Times New Roman" w:cs="宋体" w:eastAsia="宋体" w:hAnsi="Times New Roman"/>
                <w:sz w:val="15"/>
                <w:szCs w:val="15"/>
                <w:lang w:val="en-US"/>
              </w:rPr>
              <w:t>22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exact" w:line="200"/>
              <w:jc w:val="center"/>
              <w:rPr>
                <w:rFonts w:ascii="Times New Roman" w:cs="宋体" w:eastAsia="宋体" w:hAnsi="Times New Roman"/>
                <w:sz w:val="15"/>
                <w:szCs w:val="15"/>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exact" w:line="200"/>
              <w:rPr>
                <w:rFonts w:ascii="Times New Roman" w:cs="宋体" w:eastAsia="宋体" w:hAnsi="Times New Roman"/>
                <w:sz w:val="15"/>
                <w:szCs w:val="15"/>
              </w:rPr>
            </w:pPr>
          </w:p>
        </w:tc>
      </w:tr>
    </w:tbl>
    <w:p>
      <w:pPr>
        <w:pStyle w:val="style0"/>
        <w:spacing w:lineRule="exact" w:line="400"/>
        <w:rPr>
          <w:rFonts w:ascii="Times New Roman" w:eastAsia="宋体" w:hAnsi="Times New Roman"/>
        </w:rPr>
      </w:pPr>
      <w:r>
        <w:rPr>
          <w:rFonts w:ascii="Times New Roman" w:eastAsia="宋体" w:hAnsi="Times New Roman" w:hint="eastAsia"/>
        </w:rPr>
        <w:t>注：1.本教学进程表中课程代码前带“Ｎ”的为本专业主干课程，带C的为创新创业课程。</w:t>
      </w:r>
    </w:p>
    <w:p>
      <w:pPr>
        <w:pStyle w:val="style0"/>
        <w:spacing w:lineRule="exact" w:line="400"/>
        <w:ind w:firstLine="420" w:firstLineChars="200"/>
        <w:rPr>
          <w:rFonts w:ascii="Times New Roman" w:eastAsia="宋体" w:hAnsi="Times New Roman"/>
        </w:rPr>
      </w:pPr>
      <w:r>
        <w:rPr>
          <w:rFonts w:ascii="Times New Roman" w:eastAsia="宋体" w:hAnsi="Times New Roman" w:hint="eastAsia"/>
        </w:rPr>
        <w:t>2.校内集中实训按24课时/周计，毕业设计（论文）按20课时/周计。</w:t>
      </w:r>
    </w:p>
    <w:p>
      <w:pPr>
        <w:pStyle w:val="style0"/>
        <w:spacing w:lineRule="exact" w:line="400"/>
        <w:ind w:firstLine="420" w:firstLineChars="200"/>
        <w:rPr>
          <w:rFonts w:ascii="Times New Roman" w:eastAsia="宋体" w:hAnsi="Times New Roman"/>
        </w:rPr>
      </w:pPr>
      <w:r>
        <w:rPr>
          <w:rFonts w:ascii="Times New Roman" w:eastAsia="宋体" w:hAnsi="Times New Roman" w:hint="eastAsia"/>
        </w:rPr>
        <w:t>（三）集中实践专业课程时间安排</w:t>
      </w:r>
    </w:p>
    <w:tbl>
      <w:tblPr>
        <w:tblStyle w:val="style105"/>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rPr>
          <w:jc w:val="center"/>
        </w:trPr>
        <w:tc>
          <w:tcPr>
            <w:tcW w:w="702" w:type="dxa"/>
            <w:vMerge w:val="restart"/>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序号</w:t>
            </w:r>
          </w:p>
        </w:tc>
        <w:tc>
          <w:tcPr>
            <w:tcW w:w="1723" w:type="dxa"/>
            <w:vMerge w:val="restart"/>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实训课程名称</w:t>
            </w:r>
          </w:p>
        </w:tc>
        <w:tc>
          <w:tcPr>
            <w:tcW w:w="900" w:type="dxa"/>
            <w:vMerge w:val="restart"/>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技能教学课时</w:t>
            </w:r>
          </w:p>
        </w:tc>
        <w:tc>
          <w:tcPr>
            <w:tcW w:w="5940" w:type="dxa"/>
            <w:gridSpan w:val="6"/>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按学年及学期分配</w:t>
            </w:r>
          </w:p>
        </w:tc>
      </w:tr>
      <w:tr>
        <w:tblPrEx/>
        <w:trPr>
          <w:jc w:val="center"/>
        </w:trPr>
        <w:tc>
          <w:tcPr>
            <w:tcW w:w="702" w:type="dxa"/>
            <w:vMerge w:val="continue"/>
            <w:tcBorders/>
            <w:vAlign w:val="center"/>
          </w:tcPr>
          <w:p>
            <w:pPr>
              <w:pStyle w:val="style0"/>
              <w:spacing w:lineRule="exact" w:line="360"/>
              <w:jc w:val="center"/>
              <w:rPr>
                <w:rFonts w:ascii="Times New Roman" w:eastAsia="宋体" w:hAnsi="Times New Roman"/>
                <w:b/>
                <w:sz w:val="18"/>
                <w:szCs w:val="18"/>
              </w:rPr>
            </w:pPr>
          </w:p>
        </w:tc>
        <w:tc>
          <w:tcPr>
            <w:tcW w:w="1723" w:type="dxa"/>
            <w:vMerge w:val="continue"/>
            <w:tcBorders/>
            <w:vAlign w:val="center"/>
          </w:tcPr>
          <w:p>
            <w:pPr>
              <w:pStyle w:val="style0"/>
              <w:spacing w:lineRule="exact" w:line="360"/>
              <w:jc w:val="center"/>
              <w:rPr>
                <w:rFonts w:ascii="Times New Roman" w:eastAsia="宋体" w:hAnsi="Times New Roman"/>
                <w:b/>
                <w:sz w:val="18"/>
                <w:szCs w:val="18"/>
              </w:rPr>
            </w:pPr>
          </w:p>
        </w:tc>
        <w:tc>
          <w:tcPr>
            <w:tcW w:w="900" w:type="dxa"/>
            <w:vMerge w:val="continue"/>
            <w:tcBorders/>
            <w:vAlign w:val="center"/>
          </w:tcPr>
          <w:p>
            <w:pPr>
              <w:pStyle w:val="style0"/>
              <w:spacing w:lineRule="exact" w:line="360"/>
              <w:jc w:val="center"/>
              <w:rPr>
                <w:rFonts w:ascii="Times New Roman" w:eastAsia="宋体" w:hAnsi="Times New Roman"/>
                <w:b/>
                <w:sz w:val="18"/>
                <w:szCs w:val="18"/>
              </w:rPr>
            </w:pPr>
          </w:p>
        </w:tc>
        <w:tc>
          <w:tcPr>
            <w:tcW w:w="803"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1学期</w:t>
            </w:r>
          </w:p>
        </w:tc>
        <w:tc>
          <w:tcPr>
            <w:tcW w:w="117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2学期</w:t>
            </w:r>
          </w:p>
        </w:tc>
        <w:tc>
          <w:tcPr>
            <w:tcW w:w="962"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3学期</w:t>
            </w:r>
          </w:p>
        </w:tc>
        <w:tc>
          <w:tcPr>
            <w:tcW w:w="90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4学期</w:t>
            </w:r>
          </w:p>
        </w:tc>
        <w:tc>
          <w:tcPr>
            <w:tcW w:w="108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5学期</w:t>
            </w:r>
          </w:p>
        </w:tc>
        <w:tc>
          <w:tcPr>
            <w:tcW w:w="1025"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6学期</w:t>
            </w:r>
          </w:p>
        </w:tc>
      </w:tr>
      <w:tr>
        <w:tblPrEx/>
        <w:trPr>
          <w:trHeight w:val="363" w:hRule="atLeast"/>
          <w:jc w:val="center"/>
        </w:trPr>
        <w:tc>
          <w:tcPr>
            <w:tcW w:w="702" w:type="dxa"/>
            <w:tcBorders/>
            <w:vAlign w:val="center"/>
          </w:tcPr>
          <w:p>
            <w:pPr>
              <w:pStyle w:val="style0"/>
              <w:spacing w:lineRule="exact" w:line="360"/>
              <w:jc w:val="center"/>
              <w:rPr>
                <w:rFonts w:ascii="Times New Roman" w:eastAsia="宋体" w:hAnsi="Times New Roman" w:hint="eastAsia"/>
                <w:sz w:val="18"/>
                <w:szCs w:val="18"/>
              </w:rPr>
            </w:pPr>
            <w:r>
              <w:rPr>
                <w:rFonts w:ascii="Times New Roman" w:eastAsia="宋体" w:hAnsi="Times New Roman" w:hint="default"/>
                <w:sz w:val="18"/>
                <w:szCs w:val="18"/>
                <w:lang w:val="en-US"/>
              </w:rPr>
              <w:t>1</w:t>
            </w:r>
          </w:p>
        </w:tc>
        <w:tc>
          <w:tcPr>
            <w:tcW w:w="1723" w:type="dxa"/>
            <w:tcBorders/>
            <w:vAlign w:val="center"/>
          </w:tcPr>
          <w:p>
            <w:pPr>
              <w:pStyle w:val="style0"/>
              <w:widowControl/>
              <w:jc w:val="center"/>
              <w:rPr>
                <w:rFonts w:ascii="Times New Roman" w:eastAsia="宋体" w:hAnsi="Times New Roman" w:hint="eastAsia"/>
                <w:sz w:val="18"/>
                <w:szCs w:val="18"/>
              </w:rPr>
            </w:pPr>
            <w:r>
              <w:rPr>
                <w:rFonts w:ascii="Times New Roman" w:eastAsia="宋体" w:hAnsi="Times New Roman" w:hint="default"/>
                <w:sz w:val="18"/>
                <w:szCs w:val="18"/>
                <w:lang w:val="en-US"/>
              </w:rPr>
              <w:t>综合实训</w:t>
            </w:r>
          </w:p>
        </w:tc>
        <w:tc>
          <w:tcPr>
            <w:tcW w:w="900" w:type="dxa"/>
            <w:tcBorders/>
            <w:vAlign w:val="center"/>
          </w:tcPr>
          <w:p>
            <w:pPr>
              <w:pStyle w:val="style82"/>
              <w:tabs>
                <w:tab w:val="clear" w:pos="945"/>
              </w:tabs>
              <w:ind w:firstLine="0" w:firstLineChars="0"/>
              <w:jc w:val="center"/>
              <w:rPr>
                <w:rFonts w:ascii="Times New Roman" w:eastAsia="宋体" w:hAnsi="Times New Roman" w:hint="eastAsia"/>
                <w:sz w:val="18"/>
                <w:szCs w:val="18"/>
              </w:rPr>
            </w:pPr>
            <w:r>
              <w:rPr>
                <w:rFonts w:ascii="Times New Roman" w:eastAsia="宋体" w:hAnsi="Times New Roman" w:hint="default"/>
                <w:sz w:val="18"/>
                <w:szCs w:val="18"/>
                <w:lang w:val="en-US"/>
              </w:rPr>
              <w:t>48</w:t>
            </w:r>
          </w:p>
        </w:tc>
        <w:tc>
          <w:tcPr>
            <w:tcW w:w="803"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17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62"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080" w:type="dxa"/>
            <w:tcBorders/>
            <w:vAlign w:val="center"/>
          </w:tcPr>
          <w:p>
            <w:pPr>
              <w:pStyle w:val="style82"/>
              <w:tabs>
                <w:tab w:val="clear" w:pos="945"/>
              </w:tabs>
              <w:ind w:firstLine="0" w:firstLineChars="0"/>
              <w:jc w:val="center"/>
              <w:rPr>
                <w:rFonts w:ascii="Times New Roman" w:eastAsia="宋体" w:hAnsi="Times New Roman" w:hint="eastAsia"/>
                <w:sz w:val="18"/>
                <w:szCs w:val="18"/>
              </w:rPr>
            </w:pPr>
            <w:r>
              <w:rPr>
                <w:rFonts w:ascii="Times New Roman" w:eastAsia="宋体" w:hAnsi="Times New Roman" w:hint="default"/>
                <w:sz w:val="18"/>
                <w:szCs w:val="18"/>
                <w:lang w:val="en-US"/>
              </w:rPr>
              <w:t>48</w:t>
            </w:r>
          </w:p>
        </w:tc>
        <w:tc>
          <w:tcPr>
            <w:tcW w:w="1025" w:type="dxa"/>
            <w:tcBorders/>
            <w:vAlign w:val="center"/>
          </w:tcPr>
          <w:p>
            <w:pPr>
              <w:pStyle w:val="style82"/>
              <w:tabs>
                <w:tab w:val="clear" w:pos="945"/>
              </w:tabs>
              <w:ind w:firstLine="0" w:firstLineChars="0"/>
              <w:jc w:val="center"/>
              <w:rPr>
                <w:rFonts w:ascii="Times New Roman" w:eastAsia="宋体" w:hAnsi="Times New Roman"/>
                <w:sz w:val="18"/>
                <w:szCs w:val="18"/>
              </w:rPr>
            </w:pPr>
          </w:p>
        </w:tc>
      </w:tr>
      <w:tr>
        <w:tblPrEx/>
        <w:trPr>
          <w:trHeight w:val="363" w:hRule="atLeast"/>
          <w:jc w:val="center"/>
        </w:trPr>
        <w:tc>
          <w:tcPr>
            <w:tcW w:w="702" w:type="dxa"/>
            <w:tcBorders/>
            <w:vAlign w:val="center"/>
          </w:tcPr>
          <w:p>
            <w:pPr>
              <w:pStyle w:val="style0"/>
              <w:spacing w:lineRule="exact" w:line="360"/>
              <w:jc w:val="center"/>
              <w:rPr>
                <w:rFonts w:ascii="Times New Roman" w:eastAsia="宋体" w:hAnsi="Times New Roman" w:hint="eastAsia"/>
                <w:sz w:val="18"/>
                <w:szCs w:val="18"/>
              </w:rPr>
            </w:pPr>
            <w:r>
              <w:rPr>
                <w:rFonts w:ascii="Times New Roman" w:eastAsia="宋体" w:hAnsi="Times New Roman" w:hint="default"/>
                <w:sz w:val="18"/>
                <w:szCs w:val="18"/>
                <w:lang w:val="en-US"/>
              </w:rPr>
              <w:t>2</w:t>
            </w:r>
          </w:p>
        </w:tc>
        <w:tc>
          <w:tcPr>
            <w:tcW w:w="1723" w:type="dxa"/>
            <w:tcBorders/>
            <w:vAlign w:val="center"/>
          </w:tcPr>
          <w:p>
            <w:pPr>
              <w:pStyle w:val="style0"/>
              <w:widowControl/>
              <w:jc w:val="center"/>
              <w:rPr>
                <w:rFonts w:ascii="Times New Roman" w:eastAsia="宋体" w:hAnsi="Times New Roman" w:hint="eastAsia"/>
                <w:sz w:val="18"/>
                <w:szCs w:val="18"/>
              </w:rPr>
            </w:pPr>
            <w:r>
              <w:rPr>
                <w:rFonts w:ascii="Times New Roman" w:eastAsia="宋体" w:hAnsi="Times New Roman" w:hint="default"/>
                <w:sz w:val="18"/>
                <w:szCs w:val="18"/>
                <w:lang w:val="en-US"/>
              </w:rPr>
              <w:t>岗位实习</w:t>
            </w:r>
          </w:p>
        </w:tc>
        <w:tc>
          <w:tcPr>
            <w:tcW w:w="900" w:type="dxa"/>
            <w:tcBorders/>
            <w:vAlign w:val="center"/>
          </w:tcPr>
          <w:p>
            <w:pPr>
              <w:pStyle w:val="style82"/>
              <w:tabs>
                <w:tab w:val="clear" w:pos="945"/>
              </w:tabs>
              <w:ind w:firstLine="0" w:firstLineChars="0"/>
              <w:jc w:val="center"/>
              <w:rPr>
                <w:rFonts w:ascii="Times New Roman" w:eastAsia="宋体" w:hAnsi="Times New Roman" w:hint="eastAsia"/>
                <w:sz w:val="18"/>
                <w:szCs w:val="18"/>
              </w:rPr>
            </w:pPr>
            <w:r>
              <w:rPr>
                <w:rFonts w:ascii="Times New Roman" w:eastAsia="宋体" w:hAnsi="Times New Roman" w:hint="default"/>
                <w:sz w:val="18"/>
                <w:szCs w:val="18"/>
                <w:lang w:val="en-US"/>
              </w:rPr>
              <w:t>260</w:t>
            </w:r>
          </w:p>
        </w:tc>
        <w:tc>
          <w:tcPr>
            <w:tcW w:w="803"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17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62"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080" w:type="dxa"/>
            <w:tcBorders/>
            <w:vAlign w:val="center"/>
          </w:tcPr>
          <w:p>
            <w:pPr>
              <w:pStyle w:val="style82"/>
              <w:tabs>
                <w:tab w:val="clear" w:pos="945"/>
              </w:tabs>
              <w:ind w:firstLine="0" w:firstLineChars="0"/>
              <w:jc w:val="center"/>
              <w:rPr>
                <w:rFonts w:ascii="Times New Roman" w:eastAsia="宋体" w:hAnsi="Times New Roman" w:hint="eastAsia"/>
                <w:sz w:val="18"/>
                <w:szCs w:val="18"/>
              </w:rPr>
            </w:pPr>
          </w:p>
        </w:tc>
        <w:tc>
          <w:tcPr>
            <w:tcW w:w="1025"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sz w:val="18"/>
                <w:szCs w:val="18"/>
                <w:lang w:val="en-US"/>
              </w:rPr>
              <w:t>260</w:t>
            </w:r>
          </w:p>
        </w:tc>
      </w:tr>
      <w:tr>
        <w:tblPrEx/>
        <w:trPr>
          <w:trHeight w:val="363" w:hRule="atLeast"/>
          <w:jc w:val="center"/>
        </w:trPr>
        <w:tc>
          <w:tcPr>
            <w:tcW w:w="702" w:type="dxa"/>
            <w:tcBorders/>
            <w:vAlign w:val="center"/>
          </w:tcPr>
          <w:p>
            <w:pPr>
              <w:pStyle w:val="style0"/>
              <w:spacing w:lineRule="exact" w:line="360"/>
              <w:jc w:val="center"/>
              <w:rPr>
                <w:rFonts w:ascii="Times New Roman" w:eastAsia="宋体" w:hAnsi="Times New Roman"/>
                <w:sz w:val="18"/>
                <w:szCs w:val="18"/>
              </w:rPr>
            </w:pPr>
            <w:r>
              <w:rPr>
                <w:rFonts w:ascii="Times New Roman" w:eastAsia="宋体" w:hAnsi="Times New Roman"/>
                <w:sz w:val="18"/>
                <w:szCs w:val="18"/>
                <w:lang w:val="en-US"/>
              </w:rPr>
              <w:t>3</w:t>
            </w:r>
          </w:p>
        </w:tc>
        <w:tc>
          <w:tcPr>
            <w:tcW w:w="1723" w:type="dxa"/>
            <w:tcBorders/>
            <w:vAlign w:val="center"/>
          </w:tcPr>
          <w:p>
            <w:pPr>
              <w:pStyle w:val="style0"/>
              <w:widowControl/>
              <w:jc w:val="center"/>
              <w:rPr>
                <w:rFonts w:ascii="Times New Roman" w:eastAsia="宋体" w:hAnsi="Times New Roman"/>
                <w:sz w:val="18"/>
                <w:szCs w:val="18"/>
              </w:rPr>
            </w:pPr>
            <w:r>
              <w:rPr>
                <w:rFonts w:ascii="Times New Roman" w:eastAsia="宋体" w:hAnsi="Times New Roman"/>
                <w:sz w:val="18"/>
                <w:szCs w:val="18"/>
                <w:lang w:val="en-US"/>
              </w:rPr>
              <w:t>毕业论文（毕业设计）</w:t>
            </w: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sz w:val="18"/>
                <w:szCs w:val="18"/>
                <w:lang w:val="en-US"/>
              </w:rPr>
              <w:t>100</w:t>
            </w:r>
          </w:p>
        </w:tc>
        <w:tc>
          <w:tcPr>
            <w:tcW w:w="803"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17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62"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08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025"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sz w:val="18"/>
                <w:szCs w:val="18"/>
                <w:lang w:val="en-US"/>
              </w:rPr>
              <w:t>100</w:t>
            </w:r>
          </w:p>
        </w:tc>
      </w:tr>
      <w:tr>
        <w:tblPrEx/>
        <w:trPr>
          <w:trHeight w:val="304" w:hRule="atLeast"/>
          <w:jc w:val="center"/>
        </w:trPr>
        <w:tc>
          <w:tcPr>
            <w:tcW w:w="2425" w:type="dxa"/>
            <w:gridSpan w:val="2"/>
            <w:tcBorders/>
            <w:vAlign w:val="center"/>
          </w:tcPr>
          <w:p>
            <w:pPr>
              <w:pStyle w:val="style0"/>
              <w:spacing w:lineRule="exact" w:line="360"/>
              <w:jc w:val="center"/>
              <w:rPr>
                <w:rFonts w:ascii="Times New Roman" w:eastAsia="宋体" w:hAnsi="Times New Roman"/>
                <w:sz w:val="18"/>
                <w:szCs w:val="18"/>
              </w:rPr>
            </w:pPr>
            <w:r>
              <w:rPr>
                <w:rFonts w:ascii="Times New Roman" w:eastAsia="宋体" w:hAnsi="Times New Roman" w:hint="eastAsia"/>
                <w:sz w:val="18"/>
                <w:szCs w:val="18"/>
              </w:rPr>
              <w:t>合计</w:t>
            </w: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sz w:val="18"/>
                <w:szCs w:val="18"/>
                <w:lang w:val="en-US"/>
              </w:rPr>
              <w:t>408</w:t>
            </w:r>
          </w:p>
        </w:tc>
        <w:tc>
          <w:tcPr>
            <w:tcW w:w="803"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17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62"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900" w:type="dxa"/>
            <w:tcBorders/>
            <w:vAlign w:val="center"/>
          </w:tcPr>
          <w:p>
            <w:pPr>
              <w:pStyle w:val="style82"/>
              <w:tabs>
                <w:tab w:val="clear" w:pos="945"/>
              </w:tabs>
              <w:ind w:firstLine="0" w:firstLineChars="0"/>
              <w:jc w:val="center"/>
              <w:rPr>
                <w:rFonts w:ascii="Times New Roman" w:eastAsia="宋体" w:hAnsi="Times New Roman"/>
                <w:sz w:val="18"/>
                <w:szCs w:val="18"/>
              </w:rPr>
            </w:pPr>
          </w:p>
        </w:tc>
        <w:tc>
          <w:tcPr>
            <w:tcW w:w="1080"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hint="eastAsia"/>
                <w:sz w:val="18"/>
                <w:szCs w:val="18"/>
              </w:rPr>
              <w:t>48</w:t>
            </w:r>
          </w:p>
        </w:tc>
        <w:tc>
          <w:tcPr>
            <w:tcW w:w="1025" w:type="dxa"/>
            <w:tcBorders/>
            <w:vAlign w:val="center"/>
          </w:tcPr>
          <w:p>
            <w:pPr>
              <w:pStyle w:val="style82"/>
              <w:tabs>
                <w:tab w:val="clear" w:pos="945"/>
              </w:tabs>
              <w:ind w:firstLine="0" w:firstLineChars="0"/>
              <w:jc w:val="center"/>
              <w:rPr>
                <w:rFonts w:ascii="Times New Roman" w:eastAsia="宋体" w:hAnsi="Times New Roman"/>
                <w:sz w:val="18"/>
                <w:szCs w:val="18"/>
              </w:rPr>
            </w:pPr>
            <w:r>
              <w:rPr>
                <w:rFonts w:ascii="Times New Roman" w:eastAsia="宋体" w:hAnsi="Times New Roman"/>
                <w:sz w:val="18"/>
                <w:szCs w:val="18"/>
                <w:lang w:val="en-US"/>
              </w:rPr>
              <w:t>360</w:t>
            </w:r>
          </w:p>
        </w:tc>
      </w:tr>
    </w:tbl>
    <w:p>
      <w:pPr>
        <w:pStyle w:val="style0"/>
        <w:spacing w:lineRule="exact" w:line="400"/>
        <w:ind w:firstLine="420" w:firstLineChars="200"/>
        <w:rPr>
          <w:rFonts w:ascii="Times New Roman" w:eastAsia="宋体" w:hAnsi="Times New Roman"/>
        </w:rPr>
      </w:pPr>
      <w:r>
        <w:rPr>
          <w:rFonts w:ascii="Times New Roman" w:eastAsia="宋体" w:hAnsi="Times New Roman" w:hint="eastAsia"/>
        </w:rPr>
        <w:t>（四）课程结构比例表</w:t>
      </w:r>
    </w:p>
    <w:tbl>
      <w:tblPr>
        <w:tblStyle w:val="style105"/>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4"/>
        <w:gridCol w:w="1780"/>
        <w:gridCol w:w="1780"/>
        <w:gridCol w:w="1780"/>
        <w:gridCol w:w="1778"/>
      </w:tblGrid>
      <w:tr>
        <w:trPr>
          <w:cantSplit/>
          <w:jc w:val="center"/>
        </w:trPr>
        <w:tc>
          <w:tcPr>
            <w:tcW w:w="2124" w:type="dxa"/>
            <w:vMerge w:val="restart"/>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课程类型</w:t>
            </w:r>
          </w:p>
        </w:tc>
        <w:tc>
          <w:tcPr>
            <w:tcW w:w="7118" w:type="dxa"/>
            <w:gridSpan w:val="4"/>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课时分配及比例</w:t>
            </w:r>
          </w:p>
        </w:tc>
      </w:tr>
      <w:tr>
        <w:tblPrEx/>
        <w:trPr>
          <w:cantSplit/>
          <w:jc w:val="center"/>
        </w:trPr>
        <w:tc>
          <w:tcPr>
            <w:tcW w:w="2124" w:type="dxa"/>
            <w:vMerge w:val="continue"/>
            <w:tcBorders/>
            <w:vAlign w:val="center"/>
          </w:tcPr>
          <w:p>
            <w:pPr>
              <w:pStyle w:val="style0"/>
              <w:spacing w:lineRule="exact" w:line="360"/>
              <w:jc w:val="center"/>
              <w:rPr>
                <w:rFonts w:ascii="Times New Roman" w:eastAsia="宋体" w:hAnsi="Times New Roman"/>
                <w:b/>
                <w:sz w:val="18"/>
                <w:szCs w:val="18"/>
              </w:rPr>
            </w:pPr>
          </w:p>
        </w:tc>
        <w:tc>
          <w:tcPr>
            <w:tcW w:w="178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理论</w:t>
            </w:r>
          </w:p>
        </w:tc>
        <w:tc>
          <w:tcPr>
            <w:tcW w:w="178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实践</w:t>
            </w:r>
          </w:p>
        </w:tc>
        <w:tc>
          <w:tcPr>
            <w:tcW w:w="1780"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合计</w:t>
            </w:r>
          </w:p>
        </w:tc>
        <w:tc>
          <w:tcPr>
            <w:tcW w:w="1778" w:type="dxa"/>
            <w:tcBorders/>
            <w:vAlign w:val="center"/>
          </w:tcPr>
          <w:p>
            <w:pPr>
              <w:pStyle w:val="style0"/>
              <w:spacing w:lineRule="exact" w:line="360"/>
              <w:jc w:val="center"/>
              <w:rPr>
                <w:rFonts w:ascii="Times New Roman" w:eastAsia="宋体" w:hAnsi="Times New Roman"/>
                <w:b/>
                <w:sz w:val="18"/>
                <w:szCs w:val="18"/>
              </w:rPr>
            </w:pPr>
            <w:r>
              <w:rPr>
                <w:rFonts w:ascii="Times New Roman" w:eastAsia="宋体" w:hAnsi="Times New Roman" w:hint="eastAsia"/>
                <w:b/>
                <w:sz w:val="18"/>
                <w:szCs w:val="18"/>
              </w:rPr>
              <w:t>比例</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公共基础课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508</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380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888</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33%</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平台共享课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130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130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260</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10%</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特色分立课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446</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446</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892</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33%</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互选拓展课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28</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28</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56</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2%</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专业实践课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90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318</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408</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15%</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公共选修课</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152</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40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192</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7%</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合计</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1354</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1342</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2696</w:t>
            </w:r>
          </w:p>
        </w:tc>
        <w:tc>
          <w:tcPr>
            <w:tcW w:w="1778"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100%</w:t>
            </w:r>
          </w:p>
        </w:tc>
      </w:tr>
      <w:tr>
        <w:tblPrEx/>
        <w:trPr>
          <w:jc w:val="center"/>
        </w:trPr>
        <w:tc>
          <w:tcPr>
            <w:tcW w:w="2124"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比例</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50%</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default"/>
                <w:color w:val="000000"/>
                <w:kern w:val="0"/>
                <w:sz w:val="18"/>
                <w:szCs w:val="18"/>
                <w:lang w:val="en-US"/>
              </w:rPr>
              <w:t>50</w:t>
            </w:r>
            <w:r>
              <w:rPr>
                <w:rFonts w:ascii="宋体" w:cs="宋体" w:eastAsia="宋体" w:hAnsi="宋体" w:hint="eastAsia"/>
                <w:color w:val="000000"/>
                <w:kern w:val="0"/>
                <w:sz w:val="18"/>
                <w:szCs w:val="18"/>
              </w:rPr>
              <w:t>%</w:t>
            </w:r>
          </w:p>
        </w:tc>
        <w:tc>
          <w:tcPr>
            <w:tcW w:w="1780" w:type="dxa"/>
            <w:tcBorders/>
            <w:vAlign w:val="center"/>
          </w:tcPr>
          <w:p>
            <w:pPr>
              <w:pStyle w:val="style0"/>
              <w:widowControl/>
              <w:jc w:val="center"/>
              <w:textAlignment w:val="center"/>
              <w:rPr>
                <w:rFonts w:ascii="Times New Roman" w:eastAsia="宋体" w:hAnsi="Times New Roman"/>
                <w:sz w:val="18"/>
                <w:szCs w:val="18"/>
              </w:rPr>
            </w:pPr>
            <w:r>
              <w:rPr>
                <w:rFonts w:ascii="宋体" w:cs="宋体" w:eastAsia="宋体" w:hAnsi="宋体" w:hint="eastAsia"/>
                <w:color w:val="000000"/>
                <w:kern w:val="0"/>
                <w:sz w:val="18"/>
                <w:szCs w:val="18"/>
              </w:rPr>
              <w:t>100.00%</w:t>
            </w:r>
          </w:p>
        </w:tc>
        <w:tc>
          <w:tcPr>
            <w:tcW w:w="1778" w:type="dxa"/>
            <w:tcBorders/>
            <w:vAlign w:val="center"/>
          </w:tcPr>
          <w:p>
            <w:pPr>
              <w:pStyle w:val="style0"/>
              <w:jc w:val="center"/>
              <w:rPr>
                <w:rFonts w:ascii="Times New Roman" w:eastAsia="宋体" w:hAnsi="Times New Roman"/>
                <w:sz w:val="18"/>
                <w:szCs w:val="18"/>
              </w:rPr>
            </w:pPr>
          </w:p>
        </w:tc>
      </w:tr>
      <w:bookmarkStart w:id="7" w:name="_Toc327706746"/>
    </w:tbl>
    <w:p>
      <w:pPr>
        <w:pStyle w:val="style0"/>
        <w:spacing w:lineRule="exact" w:line="400"/>
        <w:ind w:firstLine="315" w:firstLineChars="150"/>
        <w:rPr>
          <w:rFonts w:ascii="Times New Roman" w:eastAsia="宋体" w:hAnsi="Times New Roman"/>
        </w:rPr>
      </w:pPr>
    </w:p>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八、教学资源配置与要求</w:t>
      </w:r>
      <w:bookmarkEnd w:id="7"/>
    </w:p>
    <w:bookmarkStart w:id="8" w:name="_Toc327706747"/>
    <w:bookmarkStart w:id="9" w:name="_Toc327706748"/>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（一）师资条件</w:t>
      </w:r>
      <w:bookmarkEnd w:id="8"/>
    </w:p>
    <w:p>
      <w:pPr>
        <w:pStyle w:val="style0"/>
        <w:adjustRightInd w:val="false"/>
        <w:snapToGrid w:val="false"/>
        <w:spacing w:lineRule="exact" w:line="380"/>
        <w:ind w:firstLine="420" w:firstLineChars="200"/>
        <w:rPr>
          <w:rFonts w:ascii="宋体" w:eastAsia="宋体" w:hAnsi="宋体"/>
          <w:szCs w:val="21"/>
        </w:rPr>
      </w:pPr>
      <w:r>
        <w:rPr>
          <w:rFonts w:ascii="宋体" w:eastAsia="宋体" w:hAnsi="宋体" w:hint="eastAsia"/>
          <w:szCs w:val="21"/>
        </w:rPr>
        <w:t>信息工程系师资队伍培养坚持“按需培养，计划进行，专职为主，理实一体”的原则，针对未来5年市场行业人才需求及学生就读专业人数的分析判断，有计划地开展培养培训工作。通过构建定位明确、层次清晰、衔接紧密、促进优秀人才可持续发展的培养和支持体系，全面提高教师的政治素质、教学科研能力、知识创新能力和技术服务能力，建设一支素质优良、富有活力、勇于创新、适应学院、专业发展需要的教师队伍。</w:t>
      </w:r>
    </w:p>
    <w:p>
      <w:pPr>
        <w:pStyle w:val="style0"/>
        <w:adjustRightInd w:val="false"/>
        <w:snapToGrid w:val="false"/>
        <w:spacing w:lineRule="exact" w:line="380"/>
        <w:ind w:firstLine="420" w:firstLineChars="200"/>
        <w:rPr>
          <w:rFonts w:ascii="宋体" w:eastAsia="宋体" w:hAnsi="宋体"/>
          <w:szCs w:val="21"/>
        </w:rPr>
      </w:pPr>
      <w:r>
        <w:rPr>
          <w:rFonts w:ascii="宋体" w:eastAsia="宋体" w:hAnsi="宋体" w:hint="eastAsia"/>
          <w:szCs w:val="21"/>
        </w:rPr>
        <w:t>软件技术专业现有校内师资</w:t>
      </w:r>
      <w:r>
        <w:rPr>
          <w:rFonts w:ascii="宋体" w:eastAsia="宋体" w:hAnsi="宋体"/>
          <w:szCs w:val="21"/>
        </w:rPr>
        <w:t>1</w:t>
      </w:r>
      <w:r>
        <w:rPr>
          <w:rFonts w:ascii="宋体" w:eastAsia="宋体" w:hAnsi="宋体" w:hint="eastAsia"/>
          <w:szCs w:val="21"/>
        </w:rPr>
        <w:t>2名，其中教授1名，副教授4名，讲师</w:t>
      </w:r>
      <w:r>
        <w:rPr>
          <w:rFonts w:ascii="宋体" w:eastAsia="宋体" w:hAnsi="宋体"/>
          <w:szCs w:val="21"/>
        </w:rPr>
        <w:t>6</w:t>
      </w:r>
      <w:r>
        <w:rPr>
          <w:rFonts w:ascii="宋体" w:eastAsia="宋体" w:hAnsi="宋体" w:hint="eastAsia"/>
          <w:szCs w:val="21"/>
        </w:rPr>
        <w:t>名，助教1名，“双师”素质教师达100%，硕士学位达100%，专职10名，兼职2名，具体情况如下：</w:t>
      </w:r>
    </w:p>
    <w:tbl>
      <w:tblPr>
        <w:tblStyle w:val="style105"/>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9"/>
        <w:gridCol w:w="1547"/>
        <w:gridCol w:w="1547"/>
        <w:gridCol w:w="1548"/>
        <w:gridCol w:w="1548"/>
        <w:gridCol w:w="1505"/>
      </w:tblGrid>
      <w:tr>
        <w:trPr>
          <w:jc w:val="center"/>
        </w:trPr>
        <w:tc>
          <w:tcPr>
            <w:tcW w:w="959"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cs="宋体" w:eastAsia="宋体" w:hAnsi="宋体" w:hint="eastAsia"/>
                <w:sz w:val="18"/>
                <w:szCs w:val="18"/>
              </w:rPr>
              <w:t>序号</w:t>
            </w:r>
          </w:p>
        </w:tc>
        <w:tc>
          <w:tcPr>
            <w:tcW w:w="1547"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cs="宋体" w:eastAsia="宋体" w:hAnsi="宋体" w:hint="eastAsia"/>
                <w:sz w:val="18"/>
                <w:szCs w:val="18"/>
              </w:rPr>
              <w:t>姓名</w:t>
            </w:r>
          </w:p>
        </w:tc>
        <w:tc>
          <w:tcPr>
            <w:tcW w:w="1547"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cs="宋体" w:eastAsia="宋体" w:hAnsi="宋体" w:hint="eastAsia"/>
                <w:sz w:val="18"/>
                <w:szCs w:val="18"/>
              </w:rPr>
              <w:t>职称</w:t>
            </w:r>
          </w:p>
        </w:tc>
        <w:tc>
          <w:tcPr>
            <w:tcW w:w="1548"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cs="宋体" w:eastAsia="宋体" w:hAnsi="宋体" w:hint="eastAsia"/>
                <w:sz w:val="18"/>
                <w:szCs w:val="18"/>
              </w:rPr>
              <w:t>学历/学位</w:t>
            </w:r>
          </w:p>
        </w:tc>
        <w:tc>
          <w:tcPr>
            <w:tcW w:w="1548"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eastAsia="宋体" w:hAnsi="宋体" w:hint="eastAsia"/>
                <w:bCs/>
                <w:sz w:val="18"/>
                <w:szCs w:val="18"/>
              </w:rPr>
              <w:t>职业资格证书</w:t>
            </w:r>
          </w:p>
        </w:tc>
        <w:tc>
          <w:tcPr>
            <w:tcW w:w="1505" w:type="dxa"/>
            <w:tcBorders/>
            <w:vAlign w:val="center"/>
          </w:tcPr>
          <w:p>
            <w:pPr>
              <w:pStyle w:val="style0"/>
              <w:adjustRightInd w:val="false"/>
              <w:snapToGrid w:val="false"/>
              <w:spacing w:lineRule="exact" w:line="440"/>
              <w:jc w:val="center"/>
              <w:rPr>
                <w:rFonts w:ascii="宋体" w:cs="宋体" w:eastAsia="宋体" w:hAnsi="宋体"/>
                <w:sz w:val="18"/>
                <w:szCs w:val="18"/>
              </w:rPr>
            </w:pPr>
            <w:r>
              <w:rPr>
                <w:rFonts w:ascii="宋体" w:cs="宋体" w:eastAsia="宋体" w:hAnsi="宋体" w:hint="eastAsia"/>
                <w:sz w:val="18"/>
                <w:szCs w:val="18"/>
              </w:rPr>
              <w:t>专兼职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1</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罗成</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教授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2</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刘珍</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副教授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3</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万文霞</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副教授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4</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熊浩</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副教授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5</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周斯昱</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研究生</w:t>
            </w:r>
            <w:r>
              <w:rPr>
                <w:rFonts w:ascii="宋体" w:cs="宋体" w:eastAsia="宋体" w:hAnsi="宋体"/>
                <w:sz w:val="18"/>
                <w:szCs w:val="18"/>
              </w:rPr>
              <w:t>/</w:t>
            </w:r>
            <w:r>
              <w:rPr>
                <w:rFonts w:ascii="宋体" w:cs="宋体" w:eastAsia="宋体" w:hAnsi="宋体" w:hint="eastAsia"/>
                <w:sz w:val="18"/>
                <w:szCs w:val="18"/>
              </w:rPr>
              <w:t>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sz w:val="18"/>
                <w:szCs w:val="18"/>
              </w:rPr>
              <w:t>6</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汤皖宁</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研究生</w:t>
            </w:r>
            <w:r>
              <w:rPr>
                <w:rFonts w:ascii="宋体" w:cs="宋体" w:eastAsia="宋体" w:hAnsi="宋体"/>
                <w:sz w:val="18"/>
                <w:szCs w:val="18"/>
              </w:rPr>
              <w:t>/</w:t>
            </w:r>
            <w:r>
              <w:rPr>
                <w:rFonts w:ascii="宋体" w:cs="宋体" w:eastAsia="宋体" w:hAnsi="宋体" w:hint="eastAsia"/>
                <w:sz w:val="18"/>
                <w:szCs w:val="18"/>
              </w:rPr>
              <w:t>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7</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罗婷</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8</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饶瑞芳</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助教</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研究生</w:t>
            </w:r>
            <w:r>
              <w:rPr>
                <w:rFonts w:ascii="宋体" w:cs="宋体" w:eastAsia="宋体" w:hAnsi="宋体"/>
                <w:sz w:val="18"/>
                <w:szCs w:val="18"/>
              </w:rPr>
              <w:t>/</w:t>
            </w:r>
            <w:r>
              <w:rPr>
                <w:rFonts w:ascii="宋体" w:cs="宋体" w:eastAsia="宋体" w:hAnsi="宋体" w:hint="eastAsia"/>
                <w:sz w:val="18"/>
                <w:szCs w:val="18"/>
              </w:rPr>
              <w:t>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9</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李荣龙</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研究生</w:t>
            </w:r>
            <w:r>
              <w:rPr>
                <w:rFonts w:ascii="宋体" w:cs="宋体" w:eastAsia="宋体" w:hAnsi="宋体"/>
                <w:sz w:val="18"/>
                <w:szCs w:val="18"/>
              </w:rPr>
              <w:t>/</w:t>
            </w:r>
            <w:r>
              <w:rPr>
                <w:rFonts w:ascii="宋体" w:cs="宋体" w:eastAsia="宋体" w:hAnsi="宋体" w:hint="eastAsia"/>
                <w:sz w:val="18"/>
                <w:szCs w:val="18"/>
              </w:rPr>
              <w:t>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sz w:val="18"/>
                <w:szCs w:val="18"/>
              </w:rPr>
              <w:t>10</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熊晗阳</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研究生/硕士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专职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11</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林海菁</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副教授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兼职</w:t>
            </w:r>
          </w:p>
        </w:tc>
      </w:tr>
      <w:tr>
        <w:tblPrEx/>
        <w:trPr>
          <w:jc w:val="center"/>
        </w:trPr>
        <w:tc>
          <w:tcPr>
            <w:tcW w:w="959"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sz w:val="18"/>
                <w:szCs w:val="18"/>
              </w:rPr>
              <w:t>1</w:t>
            </w:r>
            <w:r>
              <w:rPr>
                <w:rFonts w:ascii="宋体" w:cs="宋体" w:eastAsia="宋体" w:hAnsi="宋体" w:hint="eastAsia"/>
                <w:sz w:val="18"/>
                <w:szCs w:val="18"/>
              </w:rPr>
              <w:t>2</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罗芳</w:t>
            </w:r>
          </w:p>
        </w:tc>
        <w:tc>
          <w:tcPr>
            <w:tcW w:w="1547"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讲师</w:t>
            </w:r>
          </w:p>
        </w:tc>
        <w:tc>
          <w:tcPr>
            <w:tcW w:w="1548"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本科/硕士</w:t>
            </w:r>
          </w:p>
        </w:tc>
        <w:tc>
          <w:tcPr>
            <w:tcW w:w="1548" w:type="dxa"/>
            <w:tcBorders/>
            <w:vAlign w:val="center"/>
          </w:tcPr>
          <w:p>
            <w:pPr>
              <w:pStyle w:val="style0"/>
              <w:tabs>
                <w:tab w:val="left" w:leader="none" w:pos="900"/>
              </w:tabs>
              <w:snapToGrid w:val="false"/>
              <w:jc w:val="center"/>
              <w:rPr>
                <w:rFonts w:ascii="宋体" w:eastAsia="宋体" w:hAnsi="宋体"/>
                <w:sz w:val="18"/>
                <w:szCs w:val="18"/>
              </w:rPr>
            </w:pPr>
            <w:r>
              <w:rPr>
                <w:rFonts w:ascii="宋体" w:eastAsia="宋体" w:hAnsi="宋体" w:hint="eastAsia"/>
                <w:sz w:val="18"/>
                <w:szCs w:val="18"/>
              </w:rPr>
              <w:t>工程师</w:t>
            </w:r>
          </w:p>
        </w:tc>
        <w:tc>
          <w:tcPr>
            <w:tcW w:w="1505" w:type="dxa"/>
            <w:tcBorders/>
            <w:vAlign w:val="center"/>
          </w:tcPr>
          <w:p>
            <w:pPr>
              <w:pStyle w:val="style0"/>
              <w:spacing w:lineRule="exact" w:line="360"/>
              <w:jc w:val="center"/>
              <w:rPr>
                <w:rFonts w:ascii="宋体" w:cs="宋体" w:eastAsia="宋体" w:hAnsi="宋体"/>
                <w:sz w:val="18"/>
                <w:szCs w:val="18"/>
              </w:rPr>
            </w:pPr>
            <w:r>
              <w:rPr>
                <w:rFonts w:ascii="宋体" w:cs="宋体" w:eastAsia="宋体" w:hAnsi="宋体" w:hint="eastAsia"/>
                <w:sz w:val="18"/>
                <w:szCs w:val="18"/>
              </w:rPr>
              <w:t>兼职</w:t>
            </w:r>
          </w:p>
        </w:tc>
      </w:tr>
    </w:tbl>
    <w:p>
      <w:pPr>
        <w:pStyle w:val="style0"/>
        <w:snapToGrid w:val="false"/>
        <w:spacing w:lineRule="exact" w:line="380"/>
        <w:ind w:firstLine="420" w:firstLineChars="200"/>
        <w:rPr>
          <w:rFonts w:ascii="Times New Roman" w:eastAsia="宋体" w:hAnsi="Times New Roman"/>
          <w:szCs w:val="21"/>
        </w:rPr>
      </w:pPr>
      <w:r>
        <w:rPr>
          <w:rFonts w:ascii="Times New Roman" w:eastAsia="宋体" w:hAnsi="Times New Roman" w:hint="eastAsia"/>
          <w:szCs w:val="21"/>
        </w:rPr>
        <w:t xml:space="preserve"> 1.专业带头人</w:t>
      </w:r>
    </w:p>
    <w:p>
      <w:pPr>
        <w:pStyle w:val="style0"/>
        <w:spacing w:lineRule="exact" w:line="380"/>
        <w:ind w:firstLine="420" w:firstLineChars="200"/>
        <w:rPr>
          <w:rFonts w:ascii="宋体" w:eastAsia="宋体" w:hAnsi="宋体"/>
          <w:szCs w:val="21"/>
        </w:rPr>
      </w:pPr>
      <w:r>
        <w:rPr>
          <w:rFonts w:ascii="宋体" w:eastAsia="宋体" w:hAnsi="宋体" w:hint="eastAsia"/>
          <w:szCs w:val="21"/>
        </w:rPr>
        <w:t>专业带头人将引领软件技术专业建设的发展方向，主持教学计划、教学大纲的修订与审定与实施，负责本专业及专业群教学改革和实践技能培养方案的制定与实施。软件技术专业需配置1名专业带头人，其基本要求如下：</w:t>
      </w:r>
    </w:p>
    <w:p>
      <w:pPr>
        <w:pStyle w:val="style0"/>
        <w:spacing w:lineRule="exact" w:line="380"/>
        <w:ind w:firstLine="420" w:firstLineChars="200"/>
        <w:rPr>
          <w:rFonts w:ascii="宋体" w:eastAsia="宋体" w:hAnsi="宋体"/>
          <w:szCs w:val="21"/>
        </w:rPr>
      </w:pPr>
      <w:r>
        <w:rPr>
          <w:rFonts w:ascii="宋体" w:eastAsia="宋体" w:hAnsi="宋体" w:hint="eastAsia"/>
          <w:szCs w:val="21"/>
        </w:rPr>
        <w:t>(1)具有国际视野，熟悉软件行业发展趋势，能把握专业发展方向，有一定行业影响力和团队建设能力。</w:t>
      </w:r>
    </w:p>
    <w:p>
      <w:pPr>
        <w:pStyle w:val="style0"/>
        <w:spacing w:lineRule="exact" w:line="380"/>
        <w:ind w:firstLine="420" w:firstLineChars="200"/>
        <w:rPr>
          <w:rFonts w:ascii="宋体" w:eastAsia="宋体" w:hAnsi="宋体"/>
          <w:szCs w:val="21"/>
        </w:rPr>
      </w:pPr>
      <w:r>
        <w:rPr>
          <w:rFonts w:ascii="宋体" w:eastAsia="宋体" w:hAnsi="宋体" w:hint="eastAsia"/>
          <w:szCs w:val="21"/>
        </w:rPr>
        <w:t>(2)课程教学专家教学理念先进，教学思想和方法先进，课程建设能力强。</w:t>
      </w:r>
    </w:p>
    <w:p>
      <w:pPr>
        <w:pStyle w:val="style0"/>
        <w:spacing w:lineRule="exact" w:line="380"/>
        <w:ind w:firstLine="420" w:firstLineChars="200"/>
        <w:rPr>
          <w:rFonts w:ascii="宋体" w:eastAsia="宋体" w:hAnsi="宋体"/>
          <w:szCs w:val="21"/>
        </w:rPr>
      </w:pPr>
      <w:r>
        <w:rPr>
          <w:rFonts w:ascii="宋体" w:eastAsia="宋体" w:hAnsi="宋体" w:hint="eastAsia"/>
          <w:szCs w:val="21"/>
        </w:rPr>
        <w:t>(3)技术创新专家具有较强的专业技术和项目开发能力，熟悉技术发展趋势，能为企业解决技术问题。</w:t>
      </w:r>
    </w:p>
    <w:p>
      <w:pPr>
        <w:pStyle w:val="style0"/>
        <w:spacing w:lineRule="exact" w:line="380"/>
        <w:ind w:firstLine="420" w:firstLineChars="200"/>
        <w:rPr>
          <w:rFonts w:ascii="宋体" w:eastAsia="宋体" w:hAnsi="宋体"/>
          <w:szCs w:val="21"/>
        </w:rPr>
      </w:pPr>
      <w:r>
        <w:rPr>
          <w:rFonts w:ascii="宋体" w:eastAsia="宋体" w:hAnsi="宋体" w:hint="eastAsia"/>
          <w:szCs w:val="21"/>
        </w:rPr>
        <w:t>(4)实训基地建设和实训教学能手实践经验丰富，具有企业工作经历，熟悉实训条件建设与运行。</w:t>
      </w:r>
    </w:p>
    <w:p>
      <w:pPr>
        <w:pStyle w:val="style0"/>
        <w:spacing w:lineRule="exact" w:line="380"/>
        <w:ind w:firstLine="420" w:firstLineChars="200"/>
        <w:rPr>
          <w:rFonts w:ascii="宋体" w:eastAsia="宋体" w:hAnsi="宋体"/>
          <w:szCs w:val="21"/>
        </w:rPr>
      </w:pPr>
      <w:r>
        <w:rPr>
          <w:rFonts w:ascii="宋体" w:eastAsia="宋体" w:hAnsi="宋体" w:hint="eastAsia"/>
          <w:szCs w:val="21"/>
        </w:rPr>
        <w:t xml:space="preserve">(5)具有较强课程开发、教学改革和科研能力，能够根据职业发展的需求及时调整人才培养方案和专业课程体系。 </w:t>
      </w:r>
    </w:p>
    <w:p>
      <w:pPr>
        <w:pStyle w:val="style0"/>
        <w:spacing w:lineRule="exact" w:line="380"/>
        <w:ind w:firstLine="420" w:firstLineChars="200"/>
        <w:rPr>
          <w:rFonts w:ascii="宋体" w:eastAsia="宋体" w:hAnsi="宋体"/>
          <w:szCs w:val="21"/>
        </w:rPr>
      </w:pPr>
      <w:r>
        <w:rPr>
          <w:rFonts w:ascii="宋体" w:eastAsia="宋体" w:hAnsi="宋体" w:hint="eastAsia"/>
          <w:szCs w:val="21"/>
        </w:rPr>
        <w:t xml:space="preserve">(6)具有较强的组织协调能力，能够带领专业教学团队进行教育教学改革。 </w:t>
      </w:r>
    </w:p>
    <w:p>
      <w:pPr>
        <w:pStyle w:val="style0"/>
        <w:spacing w:lineRule="exact" w:line="380"/>
        <w:ind w:firstLine="420" w:firstLineChars="200"/>
        <w:rPr>
          <w:rFonts w:ascii="宋体" w:eastAsia="宋体" w:hAnsi="宋体"/>
          <w:szCs w:val="21"/>
        </w:rPr>
      </w:pPr>
      <w:r>
        <w:rPr>
          <w:rFonts w:ascii="宋体" w:eastAsia="宋体" w:hAnsi="宋体" w:hint="eastAsia"/>
          <w:szCs w:val="21"/>
        </w:rPr>
        <w:t>(7)具备指导青年骨干教师的能力。</w:t>
      </w:r>
    </w:p>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 xml:space="preserve"> 2.骨干教师队伍</w:t>
      </w:r>
    </w:p>
    <w:p>
      <w:pPr>
        <w:pStyle w:val="style0"/>
        <w:spacing w:lineRule="exact" w:line="380"/>
        <w:ind w:firstLine="420" w:firstLineChars="200"/>
        <w:rPr>
          <w:rFonts w:ascii="宋体" w:eastAsia="宋体" w:hAnsi="宋体"/>
          <w:szCs w:val="21"/>
        </w:rPr>
      </w:pPr>
      <w:r>
        <w:rPr>
          <w:rFonts w:ascii="宋体" w:eastAsia="宋体" w:hAnsi="宋体" w:hint="eastAsia"/>
          <w:szCs w:val="21"/>
        </w:rPr>
        <w:t>具有良好的思想政治素质、职业道德和优良学风。</w:t>
      </w:r>
    </w:p>
    <w:p>
      <w:pPr>
        <w:pStyle w:val="style0"/>
        <w:spacing w:lineRule="exact" w:line="380"/>
        <w:ind w:firstLine="420" w:firstLineChars="200"/>
        <w:rPr>
          <w:rFonts w:ascii="宋体" w:eastAsia="宋体" w:hAnsi="宋体"/>
          <w:szCs w:val="21"/>
        </w:rPr>
      </w:pPr>
      <w:r>
        <w:rPr>
          <w:rFonts w:ascii="宋体" w:eastAsia="宋体" w:hAnsi="宋体" w:hint="eastAsia"/>
          <w:szCs w:val="21"/>
        </w:rPr>
        <w:t>(1)从事教学科研第一线工作，年龄一般在45周岁以下（含45周岁），具有讲师以上职称或具有硕士学位。</w:t>
      </w:r>
    </w:p>
    <w:p>
      <w:pPr>
        <w:pStyle w:val="style0"/>
        <w:spacing w:lineRule="exact" w:line="380"/>
        <w:ind w:firstLine="420" w:firstLineChars="200"/>
        <w:rPr>
          <w:rFonts w:ascii="宋体" w:eastAsia="宋体" w:hAnsi="宋体"/>
          <w:szCs w:val="21"/>
        </w:rPr>
      </w:pPr>
      <w:r>
        <w:rPr>
          <w:rFonts w:ascii="宋体" w:eastAsia="宋体" w:hAnsi="宋体" w:hint="eastAsia"/>
          <w:szCs w:val="21"/>
        </w:rPr>
        <w:t>(2)对核心课程较熟悉，近三来，系统讲授1门及以上专业基础课或核心课。</w:t>
      </w:r>
    </w:p>
    <w:p>
      <w:pPr>
        <w:pStyle w:val="style0"/>
        <w:spacing w:lineRule="exact" w:line="380"/>
        <w:ind w:firstLine="420" w:firstLineChars="200"/>
        <w:rPr>
          <w:rFonts w:ascii="宋体" w:eastAsia="宋体" w:hAnsi="宋体"/>
          <w:szCs w:val="21"/>
        </w:rPr>
      </w:pPr>
      <w:r>
        <w:rPr>
          <w:rFonts w:ascii="宋体" w:eastAsia="宋体" w:hAnsi="宋体" w:hint="eastAsia"/>
          <w:szCs w:val="21"/>
        </w:rPr>
        <w:t>(3)参与（前三名）完成精品课程的建设；或参与（前三名）完成专业教学计划的制定；或参与（前两名）完成实训场所的建设；或参与完成一门课程课件的制作；或负责完成课程教学大纲（实训大纲）的制定。</w:t>
      </w:r>
    </w:p>
    <w:p>
      <w:pPr>
        <w:pStyle w:val="style0"/>
        <w:spacing w:lineRule="exact" w:line="380"/>
        <w:ind w:firstLine="420" w:firstLineChars="200"/>
        <w:rPr>
          <w:rFonts w:ascii="宋体" w:eastAsia="宋体" w:hAnsi="宋体"/>
          <w:szCs w:val="21"/>
        </w:rPr>
      </w:pPr>
      <w:r>
        <w:rPr>
          <w:rFonts w:ascii="宋体" w:eastAsia="宋体" w:hAnsi="宋体" w:hint="eastAsia"/>
          <w:szCs w:val="21"/>
        </w:rPr>
        <w:t>(4)科研能力较强，科研水平较高。</w:t>
      </w:r>
    </w:p>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 xml:space="preserve"> 3.兼职教师队伍</w:t>
      </w:r>
    </w:p>
    <w:p>
      <w:pPr>
        <w:pStyle w:val="style0"/>
        <w:spacing w:lineRule="exact" w:line="380"/>
        <w:ind w:firstLine="420" w:firstLineChars="200"/>
        <w:rPr>
          <w:rFonts w:ascii="宋体" w:eastAsia="宋体" w:hAnsi="宋体"/>
          <w:szCs w:val="21"/>
        </w:rPr>
      </w:pPr>
      <w:r>
        <w:rPr>
          <w:rFonts w:ascii="宋体" w:eastAsia="宋体" w:hAnsi="宋体" w:hint="eastAsia"/>
          <w:szCs w:val="21"/>
        </w:rPr>
        <w:t>兼职教师要求经验丰富，来源与数量稳定。行业专家要求具有高级职称资格、本科或以上学历，担任公司技术骨干或重要职位，精通软件技术。本专业需聘请校外兼职教师3人，行业专家3名。兼职教师参与教学研究，教学效果好。</w:t>
      </w:r>
    </w:p>
    <w:p>
      <w:pPr>
        <w:pStyle w:val="style0"/>
        <w:spacing w:lineRule="exact" w:line="380"/>
        <w:ind w:firstLine="420" w:firstLineChars="200"/>
        <w:rPr>
          <w:rFonts w:ascii="宋体" w:eastAsia="宋体" w:hAnsi="宋体"/>
          <w:szCs w:val="21"/>
        </w:rPr>
      </w:pPr>
      <w:r>
        <w:rPr>
          <w:rFonts w:ascii="宋体" w:eastAsia="宋体" w:hAnsi="宋体" w:hint="eastAsia"/>
          <w:szCs w:val="21"/>
        </w:rPr>
        <w:t>兼职教师的要求如下：</w:t>
      </w:r>
    </w:p>
    <w:bookmarkStart w:id="10" w:name="_Toc256035205"/>
    <w:p>
      <w:pPr>
        <w:pStyle w:val="style0"/>
        <w:spacing w:lineRule="exact" w:line="380"/>
        <w:ind w:firstLine="420" w:firstLineChars="200"/>
        <w:rPr>
          <w:rFonts w:ascii="宋体" w:eastAsia="宋体" w:hAnsi="宋体"/>
          <w:szCs w:val="21"/>
        </w:rPr>
      </w:pPr>
      <w:r>
        <w:rPr>
          <w:rFonts w:ascii="宋体" w:eastAsia="宋体" w:hAnsi="宋体" w:hint="eastAsia"/>
          <w:szCs w:val="21"/>
        </w:rPr>
        <w:t>（1）具备本专业本科或研究生以上学历，并接受过职业教育教学方法论的培训，具有独立开发职业课程的能力，能承担起本专业实践教学任务。</w:t>
      </w:r>
    </w:p>
    <w:p>
      <w:pPr>
        <w:pStyle w:val="style0"/>
        <w:spacing w:lineRule="exact" w:line="380"/>
        <w:ind w:firstLine="420" w:firstLineChars="200"/>
        <w:rPr>
          <w:rFonts w:ascii="宋体" w:eastAsia="宋体" w:hAnsi="宋体"/>
          <w:szCs w:val="21"/>
        </w:rPr>
      </w:pPr>
      <w:r>
        <w:rPr>
          <w:rFonts w:ascii="宋体" w:eastAsia="宋体" w:hAnsi="宋体" w:hint="eastAsia"/>
          <w:szCs w:val="21"/>
        </w:rPr>
        <w:t>（2）在本专业相关企业生产一线从事技术工作5年以上。</w:t>
      </w:r>
      <w:bookmarkEnd w:id="10"/>
    </w:p>
    <w:p>
      <w:pPr>
        <w:pStyle w:val="style0"/>
        <w:snapToGrid w:val="false"/>
        <w:spacing w:lineRule="exact" w:line="380"/>
        <w:ind w:firstLine="420" w:firstLineChars="200"/>
        <w:outlineLvl w:val="1"/>
        <w:rPr>
          <w:rFonts w:ascii="宋体" w:eastAsia="宋体" w:hAnsi="宋体"/>
          <w:szCs w:val="21"/>
        </w:rPr>
      </w:pPr>
      <w:r>
        <w:rPr>
          <w:rFonts w:ascii="宋体" w:eastAsia="宋体" w:hAnsi="宋体" w:hint="eastAsia"/>
          <w:szCs w:val="21"/>
        </w:rPr>
        <w:t>（3）在企事业取得中级以上职称的软件工程师、软件开发师或具有高级职称资格（具备同等能力水平亦可）等。</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（二）实训条件</w:t>
      </w:r>
      <w:bookmarkEnd w:id="9"/>
    </w:p>
    <w:p>
      <w:pPr>
        <w:pStyle w:val="style0"/>
        <w:snapToGrid w:val="false"/>
        <w:spacing w:lineRule="exact" w:line="380"/>
        <w:ind w:firstLine="420" w:firstLineChars="200"/>
        <w:rPr>
          <w:rFonts w:ascii="Times New Roman" w:eastAsia="宋体" w:hAnsi="Times New Roman"/>
          <w:szCs w:val="21"/>
        </w:rPr>
      </w:pPr>
      <w:r>
        <w:rPr>
          <w:rFonts w:ascii="Times New Roman" w:eastAsia="宋体" w:hAnsi="Times New Roman" w:hint="eastAsia"/>
          <w:szCs w:val="21"/>
        </w:rPr>
        <w:t xml:space="preserve"> 1.校内实训场地</w:t>
      </w:r>
    </w:p>
    <w:p>
      <w:pPr>
        <w:pStyle w:val="style0"/>
        <w:snapToGrid w:val="false"/>
        <w:spacing w:lineRule="exact" w:line="380"/>
        <w:jc w:val="center"/>
        <w:rPr>
          <w:rFonts w:ascii="Times New Roman" w:eastAsia="宋体" w:hAnsi="Times New Roman"/>
          <w:szCs w:val="21"/>
        </w:rPr>
      </w:pPr>
      <w:r>
        <w:rPr>
          <w:rFonts w:ascii="Times New Roman" w:eastAsia="宋体" w:hAnsi="Times New Roman" w:hint="eastAsia"/>
          <w:b/>
          <w:szCs w:val="21"/>
        </w:rPr>
        <w:t xml:space="preserve"> 校内实训场地建设要求一览表</w:t>
      </w:r>
    </w:p>
    <w:tbl>
      <w:tblPr>
        <w:tblStyle w:val="style105"/>
        <w:tblW w:w="886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0" w:type="dxa"/>
          <w:bottom w:w="0" w:type="dxa"/>
          <w:right w:w="0" w:type="dxa"/>
        </w:tblCellMar>
      </w:tblPr>
      <w:tblGrid>
        <w:gridCol w:w="2012"/>
        <w:gridCol w:w="2834"/>
        <w:gridCol w:w="4016"/>
      </w:tblGrid>
      <w:tr>
        <w:trPr>
          <w:trHeight w:val="567" w:hRule="atLeast"/>
          <w:jc w:val="center"/>
        </w:trPr>
        <w:tc>
          <w:tcPr>
            <w:tcW w:w="2012" w:type="dxa"/>
            <w:tcBorders>
              <w:bottom w:val="double" w:sz="4" w:space="0" w:color="auto"/>
              <w:right w:val="single" w:sz="4" w:space="0" w:color="auto"/>
            </w:tcBorders>
            <w:shd w:val="clear" w:color="auto" w:fill="ffffff"/>
            <w:vAlign w:val="center"/>
          </w:tcPr>
          <w:p>
            <w:pPr>
              <w:pStyle w:val="style0"/>
              <w:tabs>
                <w:tab w:val="left" w:leader="none" w:pos="900"/>
              </w:tabs>
              <w:snapToGrid w:val="false"/>
              <w:spacing w:lineRule="exact" w:line="380"/>
              <w:jc w:val="center"/>
              <w:rPr>
                <w:rFonts w:ascii="Times New Roman" w:eastAsia="宋体" w:hAnsi="Times New Roman"/>
                <w:b/>
                <w:bCs/>
                <w:sz w:val="18"/>
                <w:szCs w:val="18"/>
              </w:rPr>
            </w:pPr>
            <w:r>
              <w:rPr>
                <w:rFonts w:ascii="Times New Roman" w:eastAsia="宋体" w:hAnsi="Times New Roman" w:hint="eastAsia"/>
                <w:b/>
                <w:bCs/>
                <w:sz w:val="18"/>
                <w:szCs w:val="18"/>
              </w:rPr>
              <w:t>实训场地名称</w:t>
            </w:r>
          </w:p>
        </w:tc>
        <w:tc>
          <w:tcPr>
            <w:tcW w:w="2834" w:type="dxa"/>
            <w:tcBorders>
              <w:left w:val="single" w:sz="4" w:space="0" w:color="auto"/>
              <w:bottom w:val="double" w:sz="4" w:space="0" w:color="auto"/>
              <w:right w:val="single" w:sz="4" w:space="0" w:color="auto"/>
            </w:tcBorders>
            <w:shd w:val="clear" w:color="auto" w:fill="ffffff"/>
            <w:vAlign w:val="center"/>
          </w:tcPr>
          <w:p>
            <w:pPr>
              <w:pStyle w:val="style0"/>
              <w:tabs>
                <w:tab w:val="left" w:leader="none" w:pos="900"/>
              </w:tabs>
              <w:snapToGrid w:val="false"/>
              <w:spacing w:lineRule="exact" w:line="380"/>
              <w:jc w:val="center"/>
              <w:rPr>
                <w:rFonts w:ascii="Times New Roman" w:eastAsia="宋体" w:hAnsi="Times New Roman"/>
                <w:b/>
                <w:bCs/>
                <w:kern w:val="0"/>
                <w:sz w:val="18"/>
                <w:szCs w:val="18"/>
              </w:rPr>
            </w:pPr>
            <w:r>
              <w:rPr>
                <w:rFonts w:ascii="Times New Roman" w:eastAsia="宋体" w:hAnsi="Times New Roman" w:hint="eastAsia"/>
                <w:b/>
                <w:bCs/>
                <w:kern w:val="0"/>
                <w:sz w:val="18"/>
                <w:szCs w:val="18"/>
              </w:rPr>
              <w:t>主要设备配置</w:t>
            </w:r>
          </w:p>
        </w:tc>
        <w:tc>
          <w:tcPr>
            <w:tcW w:w="4016" w:type="dxa"/>
            <w:tcBorders>
              <w:left w:val="single" w:sz="4" w:space="0" w:color="auto"/>
              <w:bottom w:val="double" w:sz="4" w:space="0" w:color="auto"/>
            </w:tcBorders>
            <w:shd w:val="clear" w:color="auto" w:fill="ffffff"/>
            <w:vAlign w:val="center"/>
          </w:tcPr>
          <w:p>
            <w:pPr>
              <w:pStyle w:val="style0"/>
              <w:tabs>
                <w:tab w:val="left" w:leader="none" w:pos="-7"/>
              </w:tabs>
              <w:snapToGrid w:val="false"/>
              <w:spacing w:lineRule="exact" w:line="380"/>
              <w:jc w:val="center"/>
              <w:rPr>
                <w:rFonts w:ascii="Times New Roman" w:eastAsia="宋体" w:hAnsi="Times New Roman"/>
                <w:b/>
                <w:bCs/>
                <w:kern w:val="0"/>
                <w:sz w:val="18"/>
                <w:szCs w:val="18"/>
              </w:rPr>
            </w:pPr>
            <w:r>
              <w:rPr>
                <w:rFonts w:ascii="Times New Roman" w:eastAsia="宋体" w:hAnsi="Times New Roman" w:hint="eastAsia"/>
                <w:b/>
                <w:bCs/>
                <w:kern w:val="0"/>
                <w:sz w:val="18"/>
                <w:szCs w:val="18"/>
              </w:rPr>
              <w:t>主要功能</w:t>
            </w:r>
          </w:p>
        </w:tc>
      </w:tr>
      <w:tr>
        <w:tblPrEx/>
        <w:trPr>
          <w:trHeight w:val="330" w:hRule="atLeast"/>
          <w:jc w:val="center"/>
        </w:trPr>
        <w:tc>
          <w:tcPr>
            <w:tcW w:w="2012" w:type="dxa"/>
            <w:tcBorders>
              <w:bottom w:val="single" w:sz="4" w:space="0" w:color="auto"/>
              <w:right w:val="single" w:sz="4" w:space="0" w:color="auto"/>
            </w:tcBorders>
            <w:vAlign w:val="center"/>
          </w:tcPr>
          <w:p>
            <w:pPr>
              <w:pStyle w:val="style0"/>
              <w:tabs>
                <w:tab w:val="left" w:leader="none" w:pos="900"/>
              </w:tabs>
              <w:snapToGrid w:val="false"/>
              <w:spacing w:lineRule="exact" w:line="380"/>
              <w:jc w:val="center"/>
              <w:rPr>
                <w:rFonts w:ascii="Times New Roman" w:eastAsia="宋体" w:hAnsi="Times New Roman"/>
                <w:kern w:val="0"/>
                <w:sz w:val="18"/>
                <w:szCs w:val="18"/>
              </w:rPr>
            </w:pPr>
            <w:r>
              <w:rPr>
                <w:rFonts w:ascii="宋体" w:cs="宋体" w:eastAsia="宋体" w:hAnsi="宋体" w:hint="eastAsia"/>
                <w:kern w:val="0"/>
                <w:sz w:val="18"/>
                <w:szCs w:val="18"/>
              </w:rPr>
              <w:t>软件专业机房（第二专业楼407、409机房）</w:t>
            </w:r>
          </w:p>
        </w:tc>
        <w:tc>
          <w:tcPr>
            <w:tcW w:w="2834" w:type="dxa"/>
            <w:tcBorders>
              <w:left w:val="single" w:sz="4" w:space="0" w:color="auto"/>
              <w:bottom w:val="single" w:sz="4" w:space="0" w:color="auto"/>
              <w:right w:val="single" w:sz="4" w:space="0" w:color="auto"/>
            </w:tcBorders>
          </w:tcPr>
          <w:p>
            <w:pPr>
              <w:pStyle w:val="style0"/>
              <w:tabs>
                <w:tab w:val="left" w:leader="none" w:pos="900"/>
              </w:tabs>
              <w:snapToGrid w:val="false"/>
              <w:spacing w:lineRule="exact" w:line="380"/>
              <w:jc w:val="center"/>
              <w:rPr>
                <w:rFonts w:ascii="宋体" w:cs="宋体" w:eastAsia="宋体" w:hAnsi="宋体"/>
                <w:kern w:val="0"/>
                <w:sz w:val="18"/>
                <w:szCs w:val="18"/>
              </w:rPr>
            </w:pPr>
            <w:r>
              <w:rPr>
                <w:rFonts w:ascii="宋体" w:cs="宋体" w:eastAsia="宋体" w:hAnsi="宋体" w:hint="eastAsia"/>
                <w:kern w:val="0"/>
                <w:sz w:val="18"/>
                <w:szCs w:val="18"/>
              </w:rPr>
              <w:t>交换机（8台）</w:t>
            </w:r>
          </w:p>
          <w:p>
            <w:pPr>
              <w:pStyle w:val="style0"/>
              <w:tabs>
                <w:tab w:val="left" w:leader="none" w:pos="900"/>
              </w:tabs>
              <w:snapToGrid w:val="false"/>
              <w:spacing w:lineRule="exact" w:line="380"/>
              <w:jc w:val="center"/>
              <w:rPr>
                <w:rFonts w:ascii="宋体" w:cs="宋体" w:eastAsia="宋体" w:hAnsi="宋体"/>
                <w:kern w:val="0"/>
                <w:sz w:val="18"/>
                <w:szCs w:val="18"/>
              </w:rPr>
            </w:pPr>
            <w:r>
              <w:rPr>
                <w:rFonts w:ascii="宋体" w:cs="宋体" w:eastAsia="宋体" w:hAnsi="宋体" w:hint="eastAsia"/>
                <w:kern w:val="0"/>
                <w:sz w:val="18"/>
                <w:szCs w:val="18"/>
              </w:rPr>
              <w:t>投影仪（2台）</w:t>
            </w:r>
          </w:p>
          <w:p>
            <w:pPr>
              <w:pStyle w:val="style0"/>
              <w:tabs>
                <w:tab w:val="left" w:leader="none" w:pos="900"/>
              </w:tabs>
              <w:snapToGrid w:val="false"/>
              <w:spacing w:lineRule="exact" w:line="380"/>
              <w:jc w:val="center"/>
              <w:rPr>
                <w:rFonts w:ascii="Times New Roman" w:eastAsia="宋体" w:hAnsi="Times New Roman"/>
                <w:kern w:val="0"/>
                <w:sz w:val="18"/>
                <w:szCs w:val="18"/>
              </w:rPr>
            </w:pPr>
            <w:r>
              <w:rPr>
                <w:rFonts w:ascii="宋体" w:cs="宋体" w:eastAsia="宋体" w:hAnsi="宋体" w:hint="eastAsia"/>
                <w:kern w:val="0"/>
                <w:sz w:val="18"/>
                <w:szCs w:val="18"/>
              </w:rPr>
              <w:t>电脑（120台）</w:t>
            </w:r>
          </w:p>
        </w:tc>
        <w:tc>
          <w:tcPr>
            <w:tcW w:w="4016" w:type="dxa"/>
            <w:tcBorders>
              <w:left w:val="single" w:sz="4" w:space="0" w:color="auto"/>
              <w:bottom w:val="single" w:sz="4" w:space="0" w:color="auto"/>
            </w:tcBorders>
            <w:vAlign w:val="center"/>
          </w:tcPr>
          <w:p>
            <w:pPr>
              <w:pStyle w:val="style0"/>
              <w:tabs>
                <w:tab w:val="left" w:leader="none" w:pos="900"/>
              </w:tabs>
              <w:snapToGrid w:val="false"/>
              <w:spacing w:lineRule="exact" w:line="380"/>
              <w:rPr>
                <w:rFonts w:ascii="Times New Roman" w:eastAsia="宋体" w:hAnsi="Times New Roman"/>
                <w:kern w:val="0"/>
                <w:sz w:val="18"/>
                <w:szCs w:val="18"/>
              </w:rPr>
            </w:pPr>
            <w:r>
              <w:rPr>
                <w:rFonts w:ascii="宋体" w:cs="宋体" w:eastAsia="宋体" w:hAnsi="宋体" w:hint="eastAsia"/>
                <w:kern w:val="0"/>
                <w:sz w:val="18"/>
                <w:szCs w:val="18"/>
              </w:rPr>
              <w:t>PSD图像处理、网页布局与实现、网页设计与制作、Java程序设计与开发、数据库安装与维护、Jsp程序设计与开发、网站开发实训、Java项目实训、JSP项目实训、MVC项目实训、企业项目实训</w:t>
            </w:r>
          </w:p>
        </w:tc>
      </w:tr>
    </w:tbl>
    <w:p>
      <w:pPr>
        <w:pStyle w:val="style0"/>
        <w:snapToGrid w:val="false"/>
        <w:spacing w:lineRule="exact" w:line="380"/>
        <w:ind w:firstLine="420" w:firstLineChars="200"/>
        <w:rPr>
          <w:rFonts w:ascii="Times New Roman" w:eastAsia="宋体" w:hAnsi="Times New Roman"/>
          <w:szCs w:val="21"/>
        </w:rPr>
      </w:pPr>
      <w:r>
        <w:rPr>
          <w:rFonts w:ascii="Times New Roman" w:eastAsia="宋体" w:hAnsi="Times New Roman" w:hint="eastAsia"/>
          <w:szCs w:val="21"/>
        </w:rPr>
        <w:t xml:space="preserve"> 2.校外实习场地</w:t>
      </w:r>
    </w:p>
    <w:bookmarkStart w:id="11" w:name="_Toc327706749"/>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校外实习基地的建立,是软件技术专业改变人才培养方式的重要方向,是保证实践教学质量的重要保证。学生通过</w:t>
      </w:r>
      <w:r>
        <w:rPr>
          <w:rFonts w:ascii="宋体" w:eastAsia="宋体" w:hAnsi="宋体" w:hint="eastAsia"/>
          <w:szCs w:val="21"/>
          <w:lang w:eastAsia="zh-CN"/>
        </w:rPr>
        <w:t>岗位实习</w:t>
      </w:r>
      <w:r>
        <w:rPr>
          <w:rFonts w:ascii="宋体" w:eastAsia="宋体" w:hAnsi="宋体" w:hint="eastAsia"/>
          <w:szCs w:val="21"/>
        </w:rPr>
        <w:t>，既可熟悉每个岗位的职业技能，又可提高动手实践能力,增加就业创业机会。</w:t>
      </w:r>
    </w:p>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校外实习单位需要符合以下条件：</w:t>
      </w:r>
    </w:p>
    <w:p>
      <w:pPr>
        <w:pStyle w:val="style0"/>
        <w:numPr>
          <w:ilvl w:val="0"/>
          <w:numId w:val="4"/>
        </w:numPr>
        <w:snapToGrid w:val="false"/>
        <w:spacing w:lineRule="exact" w:line="380"/>
        <w:ind w:firstLine="420" w:firstLineChars="200"/>
        <w:rPr>
          <w:rFonts w:ascii="宋体" w:cs="Times New Roman" w:eastAsia="宋体" w:hAnsi="宋体"/>
          <w:szCs w:val="21"/>
        </w:rPr>
      </w:pPr>
      <w:r>
        <w:rPr>
          <w:rFonts w:ascii="宋体" w:eastAsia="宋体" w:hAnsi="宋体" w:hint="eastAsia"/>
          <w:szCs w:val="21"/>
        </w:rPr>
        <w:t>专业对口：企业主要承担软件网站前端开发、软件后端开发、移动APP开发、</w:t>
      </w:r>
      <w:r>
        <w:rPr>
          <w:rFonts w:ascii="宋体" w:eastAsia="宋体" w:hAnsi="宋体" w:hint="eastAsia"/>
          <w:szCs w:val="21"/>
          <w:lang w:eastAsia="zh-CN"/>
        </w:rPr>
        <w:t>岗位实习</w:t>
      </w:r>
      <w:r>
        <w:rPr>
          <w:rFonts w:ascii="宋体" w:eastAsia="宋体" w:hAnsi="宋体" w:hint="eastAsia"/>
          <w:szCs w:val="21"/>
        </w:rPr>
        <w:t>（含毕业设计）及部分学生就业等任务。</w:t>
      </w:r>
    </w:p>
    <w:p>
      <w:pPr>
        <w:pStyle w:val="style0"/>
        <w:numPr>
          <w:ilvl w:val="0"/>
          <w:numId w:val="4"/>
        </w:numPr>
        <w:snapToGrid w:val="false"/>
        <w:spacing w:lineRule="exact" w:line="380"/>
        <w:ind w:firstLine="420" w:firstLineChars="200"/>
        <w:rPr>
          <w:rFonts w:ascii="宋体" w:eastAsia="宋体" w:hAnsi="宋体"/>
          <w:szCs w:val="21"/>
        </w:rPr>
      </w:pPr>
      <w:r>
        <w:rPr>
          <w:rFonts w:ascii="宋体" w:eastAsia="宋体" w:hAnsi="宋体" w:hint="eastAsia"/>
          <w:szCs w:val="21"/>
        </w:rPr>
        <w:t>岗位性质：企业能满足学生第五学期的</w:t>
      </w:r>
      <w:r>
        <w:rPr>
          <w:rFonts w:ascii="宋体" w:eastAsia="宋体" w:hAnsi="宋体" w:hint="eastAsia"/>
          <w:szCs w:val="21"/>
          <w:lang w:eastAsia="zh-CN"/>
        </w:rPr>
        <w:t>岗位实习</w:t>
      </w:r>
      <w:r>
        <w:rPr>
          <w:rFonts w:ascii="宋体" w:eastAsia="宋体" w:hAnsi="宋体" w:hint="eastAsia"/>
          <w:szCs w:val="21"/>
        </w:rPr>
        <w:t>及部分学生就业等需求。</w:t>
      </w:r>
    </w:p>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通过市场调研，企业走访，本专业精选一批实践机会多，就业对口的企业，部分名单如下：</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① 华为技术有限公司（校企合作）</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② 东软集团股份有限公司（校企合作）</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③ 深圳市讯方技术股份有限公司（校企合作）</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④ 江西国鼎科技有限公司（校企合作）</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⑤ 鹏博士电信传媒集团（校企合作）</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⑥ 江西珉轩智能科技有限公司</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⑦ 江西蓝点科技发展有限公司</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⑧ 厦门柏事特信息科技有限公司江西分公司</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⑨ 江西远拓科技有限公司</w:t>
      </w:r>
    </w:p>
    <w:p>
      <w:pPr>
        <w:pStyle w:val="style0"/>
        <w:snapToGrid w:val="false"/>
        <w:spacing w:lineRule="exact" w:line="380"/>
        <w:ind w:left="420" w:firstLine="420" w:firstLineChars="200"/>
        <w:rPr>
          <w:rFonts w:ascii="宋体" w:eastAsia="宋体" w:hAnsi="宋体"/>
          <w:szCs w:val="21"/>
        </w:rPr>
      </w:pPr>
      <w:r>
        <w:rPr>
          <w:rFonts w:ascii="宋体" w:eastAsia="宋体" w:hAnsi="宋体" w:hint="eastAsia"/>
          <w:szCs w:val="21"/>
        </w:rPr>
        <w:t>⑩ 南昌正元智慧科技有限公司</w:t>
      </w:r>
    </w:p>
    <w:p>
      <w:pPr>
        <w:pStyle w:val="style0"/>
        <w:snapToGrid w:val="false"/>
        <w:spacing w:lineRule="exact" w:line="380"/>
        <w:ind w:left="420" w:firstLine="420" w:firstLineChars="200"/>
        <w:rPr>
          <w:rFonts w:ascii="宋体" w:eastAsia="宋体" w:hAnsi="宋体"/>
          <w:szCs w:val="21"/>
        </w:rPr>
      </w:pPr>
      <w:r>
        <w:rPr>
          <w:rFonts w:ascii="Cambria Math" w:cs="Cambria Math" w:eastAsia="宋体" w:hAnsi="Cambria Math"/>
          <w:szCs w:val="21"/>
        </w:rPr>
        <w:t>⑪</w:t>
      </w:r>
      <w:r>
        <w:rPr>
          <w:rFonts w:ascii="宋体" w:eastAsia="宋体" w:hAnsi="宋体" w:hint="eastAsia"/>
          <w:szCs w:val="21"/>
        </w:rPr>
        <w:t xml:space="preserve"> 江西索格科技有限公司（校企合作）</w:t>
      </w:r>
    </w:p>
    <w:p>
      <w:pPr>
        <w:pStyle w:val="style0"/>
        <w:snapToGrid w:val="false"/>
        <w:spacing w:lineRule="exact" w:line="380"/>
        <w:ind w:left="420" w:firstLine="420" w:firstLineChars="200"/>
        <w:rPr>
          <w:rFonts w:ascii="宋体" w:eastAsia="宋体" w:hAnsi="宋体"/>
          <w:szCs w:val="21"/>
        </w:rPr>
      </w:pPr>
      <w:r>
        <w:rPr>
          <w:rFonts w:ascii="Cambria Math" w:cs="Cambria Math" w:eastAsia="宋体" w:hAnsi="Cambria Math"/>
          <w:szCs w:val="21"/>
        </w:rPr>
        <w:t>⑫</w:t>
      </w:r>
      <w:r>
        <w:rPr>
          <w:rFonts w:ascii="宋体" w:eastAsia="宋体" w:hAnsi="宋体" w:hint="eastAsia"/>
          <w:szCs w:val="21"/>
        </w:rPr>
        <w:t xml:space="preserve"> 江西企手科技有限公司（校企合作）</w:t>
      </w:r>
    </w:p>
    <w:p>
      <w:pPr>
        <w:pStyle w:val="style0"/>
        <w:snapToGrid w:val="false"/>
        <w:spacing w:lineRule="exact" w:line="380"/>
        <w:ind w:firstLine="420" w:firstLineChars="200"/>
        <w:outlineLvl w:val="1"/>
        <w:rPr>
          <w:rFonts w:ascii="Times New Roman" w:eastAsia="宋体" w:hAnsi="Times New Roman"/>
          <w:szCs w:val="21"/>
        </w:rPr>
      </w:pPr>
      <w:r>
        <w:rPr>
          <w:rFonts w:ascii="Times New Roman" w:eastAsia="宋体" w:hAnsi="Times New Roman" w:hint="eastAsia"/>
          <w:szCs w:val="21"/>
        </w:rPr>
        <w:t>（三）其他资源</w:t>
      </w:r>
      <w:bookmarkEnd w:id="11"/>
    </w:p>
    <w:bookmarkStart w:id="12" w:name="_Toc327706750"/>
    <w:p>
      <w:pPr>
        <w:pStyle w:val="style0"/>
        <w:snapToGrid w:val="false"/>
        <w:spacing w:lineRule="exact" w:line="380"/>
        <w:ind w:firstLine="420" w:firstLineChars="200"/>
        <w:rPr>
          <w:rFonts w:ascii="宋体" w:eastAsia="宋体" w:hAnsi="宋体"/>
          <w:szCs w:val="21"/>
        </w:rPr>
      </w:pPr>
      <w:r>
        <w:rPr>
          <w:rFonts w:ascii="宋体" w:eastAsia="宋体" w:hAnsi="宋体" w:hint="eastAsia"/>
          <w:szCs w:val="21"/>
        </w:rPr>
        <w:t>学生可通过各种形式进行自主学习，拓宽知识领域，提高学习效率；教师可加强自身学习，提高教学能力；学院其他相关或相近专业、校外相关或相近专业可通过多种方式共享本专业的专业教学资源。</w:t>
      </w:r>
    </w:p>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 xml:space="preserve"> 九、运行实施与保障措施</w:t>
      </w:r>
      <w:bookmarkEnd w:id="12"/>
    </w:p>
    <w:p>
      <w:pPr>
        <w:pStyle w:val="style0"/>
        <w:spacing w:lineRule="exact" w:line="380"/>
        <w:ind w:firstLine="420" w:firstLineChars="200"/>
        <w:rPr>
          <w:rFonts w:ascii="Times New Roman" w:eastAsia="宋体" w:hAnsi="Times New Roman"/>
        </w:rPr>
      </w:pPr>
      <w:r>
        <w:rPr>
          <w:rFonts w:ascii="Times New Roman" w:eastAsia="宋体" w:hAnsi="Times New Roman" w:hint="eastAsia"/>
        </w:rPr>
        <w:t>（一）教学组织与实施</w:t>
      </w:r>
    </w:p>
    <w:p>
      <w:pPr>
        <w:pStyle w:val="style0"/>
        <w:spacing w:lineRule="exact" w:line="380"/>
        <w:ind w:firstLine="420" w:firstLineChars="200"/>
        <w:rPr>
          <w:rFonts w:ascii="Times New Roman" w:cs="宋体" w:eastAsia="宋体" w:hAnsi="Times New Roman"/>
          <w:bCs/>
        </w:rPr>
      </w:pPr>
      <w:r>
        <w:rPr>
          <w:rFonts w:ascii="Times New Roman" w:cs="宋体" w:eastAsia="宋体" w:hAnsi="Times New Roman" w:hint="eastAsia"/>
          <w:bCs/>
        </w:rPr>
        <w:t>1.通用职业能力与素质教学和育人活动的组织实施</w:t>
      </w:r>
    </w:p>
    <w:p>
      <w:pPr>
        <w:pStyle w:val="style0"/>
        <w:spacing w:lineRule="exact" w:line="380"/>
        <w:ind w:firstLine="420" w:firstLineChars="200"/>
        <w:rPr>
          <w:rFonts w:ascii="Times New Roman" w:cs="宋体" w:eastAsia="宋体" w:hAnsi="Times New Roman"/>
          <w:bCs/>
        </w:rPr>
      </w:pPr>
      <w:r>
        <w:rPr>
          <w:rFonts w:ascii="Times New Roman" w:cs="宋体" w:eastAsia="宋体" w:hAnsi="Times New Roman" w:hint="eastAsia"/>
          <w:bCs/>
        </w:rPr>
        <w:t>贯彻立德树人根本任务，立足</w:t>
      </w:r>
      <w:r>
        <w:rPr>
          <w:rFonts w:ascii="Times New Roman" w:cs="Segoe UI" w:eastAsia="宋体" w:hAnsi="Times New Roman"/>
        </w:rPr>
        <w:t>培养德智体美</w:t>
      </w:r>
      <w:r>
        <w:rPr>
          <w:rFonts w:ascii="Times New Roman" w:cs="Segoe UI" w:eastAsia="宋体" w:hAnsi="Times New Roman" w:hint="eastAsia"/>
        </w:rPr>
        <w:t>劳</w:t>
      </w:r>
      <w:r>
        <w:rPr>
          <w:rFonts w:ascii="Times New Roman" w:cs="Segoe UI" w:eastAsia="宋体" w:hAnsi="Times New Roman"/>
        </w:rPr>
        <w:t>全面发展的社会主义事业建设者和接班人</w:t>
      </w:r>
      <w:r>
        <w:rPr>
          <w:rFonts w:ascii="Times New Roman" w:cs="Segoe UI" w:eastAsia="宋体" w:hAnsi="Times New Roman" w:hint="eastAsia"/>
        </w:rPr>
        <w:t>，</w:t>
      </w:r>
      <w:r>
        <w:rPr>
          <w:rFonts w:ascii="Times New Roman" w:cs="宋体" w:eastAsia="宋体" w:hAnsi="Times New Roman" w:hint="eastAsia"/>
          <w:bCs/>
        </w:rPr>
        <w:t>以提高学生素质能力为着力点，既要</w:t>
      </w:r>
      <w:r>
        <w:rPr>
          <w:rFonts w:ascii="Times New Roman" w:cs="宋体" w:eastAsia="宋体" w:hAnsi="Times New Roman" w:hint="eastAsia"/>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专业学生的通用职业能力与素质教学和育人活动分成三个时期，由学院办公室﹒组织人事处、党办、党委宣传部、教务处、产学研培发展中心、学工处·武装部、团委、招生处、就业创业学院、安全保卫处、后勤服务中心、公共课教学部、思政课部和专业系等部门协同组织在校内和校外实施。其中，三个时期包括入学适应与素质能力培养阶段（第1-2学期）、素质能力提升阶段（即第2-3学期）、毕业教育和适应社会阶段（第5-6学期）。</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毕业教育和适应社会阶段（第5-6学期）主要通过专业课、院系专项主题实践活动、岗位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pStyle w:val="style0"/>
        <w:spacing w:lineRule="exact" w:line="380"/>
        <w:ind w:firstLine="420" w:firstLineChars="200"/>
        <w:rPr>
          <w:rFonts w:ascii="Times New Roman" w:cs="宋体" w:eastAsia="宋体" w:hAnsi="Times New Roman"/>
        </w:rPr>
      </w:pPr>
      <w:r>
        <w:rPr>
          <w:rFonts w:ascii="Times New Roman" w:cs="宋体" w:eastAsia="宋体" w:hAnsi="Times New Roman" w:hint="eastAsia"/>
        </w:rPr>
        <w:t>通用职业能力与素质教学和育人活动组织安排表参见下表：</w:t>
      </w:r>
    </w:p>
    <w:p>
      <w:pPr>
        <w:pStyle w:val="style0"/>
        <w:jc w:val="center"/>
        <w:rPr>
          <w:rFonts w:ascii="Times New Roman" w:cs="Times New Roman" w:eastAsia="宋体" w:hAnsi="Times New Roman"/>
          <w:b/>
        </w:rPr>
      </w:pPr>
      <w:r>
        <w:rPr>
          <w:rFonts w:ascii="Times New Roman" w:cs="Times New Roman" w:eastAsia="宋体" w:hAnsi="Times New Roman" w:hint="eastAsia"/>
          <w:b/>
        </w:rPr>
        <w:t>通用职业能力与素质教学和育人活动组织安排表</w:t>
      </w:r>
    </w:p>
    <w:tbl>
      <w:tblPr>
        <w:tblStyle w:val="style105"/>
        <w:tblW w:w="8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8"/>
        <w:gridCol w:w="595"/>
        <w:gridCol w:w="587"/>
        <w:gridCol w:w="2127"/>
        <w:gridCol w:w="1261"/>
        <w:gridCol w:w="1747"/>
        <w:gridCol w:w="1739"/>
      </w:tblGrid>
      <w:tr>
        <w:trPr>
          <w:cantSplit/>
        </w:trPr>
        <w:tc>
          <w:tcPr>
            <w:tcW w:w="778" w:type="dxa"/>
            <w:vMerge w:val="restart"/>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培养阶段</w:t>
            </w:r>
          </w:p>
        </w:tc>
        <w:tc>
          <w:tcPr>
            <w:tcW w:w="595" w:type="dxa"/>
            <w:vMerge w:val="restart"/>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实施</w:t>
            </w:r>
          </w:p>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学期</w:t>
            </w:r>
          </w:p>
        </w:tc>
        <w:tc>
          <w:tcPr>
            <w:tcW w:w="587" w:type="dxa"/>
            <w:vMerge w:val="restart"/>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培养与提升内容</w:t>
            </w:r>
          </w:p>
        </w:tc>
        <w:tc>
          <w:tcPr>
            <w:tcW w:w="6874" w:type="dxa"/>
            <w:gridSpan w:val="4"/>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组织实施方式与部门</w:t>
            </w:r>
          </w:p>
        </w:tc>
      </w:tr>
      <w:tr>
        <w:tblPrEx/>
        <w:trPr>
          <w:cantSplit/>
        </w:trPr>
        <w:tc>
          <w:tcPr>
            <w:tcW w:w="778" w:type="dxa"/>
            <w:vMerge w:val="continue"/>
            <w:tcBorders/>
            <w:vAlign w:val="center"/>
          </w:tcPr>
          <w:p>
            <w:pPr>
              <w:pStyle w:val="style0"/>
              <w:jc w:val="center"/>
              <w:rPr>
                <w:rFonts w:ascii="Times New Roman" w:cs="宋体" w:eastAsia="宋体" w:hAnsi="Times New Roman"/>
                <w:b/>
                <w:sz w:val="18"/>
                <w:szCs w:val="18"/>
              </w:rPr>
            </w:pPr>
          </w:p>
        </w:tc>
        <w:tc>
          <w:tcPr>
            <w:tcW w:w="595" w:type="dxa"/>
            <w:vMerge w:val="continue"/>
            <w:tcBorders/>
            <w:vAlign w:val="center"/>
          </w:tcPr>
          <w:p>
            <w:pPr>
              <w:pStyle w:val="style0"/>
              <w:jc w:val="center"/>
              <w:rPr>
                <w:rFonts w:ascii="Times New Roman" w:cs="宋体" w:eastAsia="宋体" w:hAnsi="Times New Roman"/>
                <w:b/>
                <w:sz w:val="18"/>
                <w:szCs w:val="18"/>
              </w:rPr>
            </w:pPr>
          </w:p>
        </w:tc>
        <w:tc>
          <w:tcPr>
            <w:tcW w:w="587" w:type="dxa"/>
            <w:vMerge w:val="continue"/>
            <w:tcBorders/>
            <w:vAlign w:val="center"/>
          </w:tcPr>
          <w:p>
            <w:pPr>
              <w:pStyle w:val="style0"/>
              <w:jc w:val="center"/>
              <w:rPr>
                <w:rFonts w:ascii="Times New Roman" w:cs="宋体" w:eastAsia="宋体" w:hAnsi="Times New Roman"/>
                <w:b/>
                <w:sz w:val="18"/>
                <w:szCs w:val="18"/>
              </w:rPr>
            </w:pPr>
          </w:p>
        </w:tc>
        <w:tc>
          <w:tcPr>
            <w:tcW w:w="2127" w:type="dxa"/>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课程教学</w:t>
            </w:r>
          </w:p>
        </w:tc>
        <w:tc>
          <w:tcPr>
            <w:tcW w:w="1261" w:type="dxa"/>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实施部门</w:t>
            </w:r>
          </w:p>
        </w:tc>
        <w:tc>
          <w:tcPr>
            <w:tcW w:w="1747" w:type="dxa"/>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实践育人</w:t>
            </w:r>
          </w:p>
        </w:tc>
        <w:tc>
          <w:tcPr>
            <w:tcW w:w="1739" w:type="dxa"/>
            <w:tcBorders/>
            <w:vAlign w:val="center"/>
          </w:tcPr>
          <w:p>
            <w:pPr>
              <w:pStyle w:val="style0"/>
              <w:jc w:val="center"/>
              <w:rPr>
                <w:rFonts w:ascii="Times New Roman" w:cs="宋体" w:eastAsia="宋体" w:hAnsi="Times New Roman"/>
                <w:b/>
                <w:sz w:val="18"/>
                <w:szCs w:val="18"/>
              </w:rPr>
            </w:pPr>
            <w:r>
              <w:rPr>
                <w:rFonts w:ascii="Times New Roman" w:cs="宋体" w:eastAsia="宋体" w:hAnsi="Times New Roman" w:hint="eastAsia"/>
                <w:b/>
                <w:sz w:val="18"/>
                <w:szCs w:val="18"/>
              </w:rPr>
              <w:t>实施部门</w:t>
            </w:r>
          </w:p>
        </w:tc>
      </w:tr>
      <w:tr>
        <w:tblPrEx/>
        <w:trPr>
          <w:cantSplit/>
        </w:trPr>
        <w:tc>
          <w:tcPr>
            <w:tcW w:w="778"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入学适应与素质能力培养阶段</w:t>
            </w:r>
          </w:p>
        </w:tc>
        <w:tc>
          <w:tcPr>
            <w:tcW w:w="595"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第1-2学期</w:t>
            </w: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思想政治素质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军事训练与军事理论课、思想道德与法治、毛泽东思想与中国特色社会主义理论体系概论、</w:t>
            </w:r>
            <w:r>
              <w:rPr>
                <w:rFonts w:ascii="Times New Roman" w:eastAsia="宋体" w:hAnsi="Times New Roman" w:hint="eastAsia"/>
                <w:kern w:val="0"/>
                <w:sz w:val="18"/>
                <w:szCs w:val="18"/>
              </w:rPr>
              <w:t>红色文化、形势与政策、</w:t>
            </w:r>
            <w:r>
              <w:rPr>
                <w:rFonts w:ascii="Times New Roman" w:cs="宋体" w:eastAsia="宋体" w:hAnsi="Times New Roman" w:hint="eastAsia"/>
                <w:sz w:val="18"/>
                <w:szCs w:val="18"/>
              </w:rPr>
              <w:t>五粮文化育人学思践悟等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思政部、公共课部、学工处·武装部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国庆节主题活动、升旗仪式、学生军训教官的选拔与培养</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宣传部、学工处·武装部、团委、专业系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身心健康</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体育与健康、大学生心理健康教育、大学生安全教育、大学生健康教育、劳动教育等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思政部、公共课部、学工处·武装部、安全保卫处</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心理健康情况筛查、心理情景剧、心理健康讲座、运动会、体育社团、运动队、晨跑活动</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学工处·武装部、团委、公共课部、各专业系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文化素质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实用</w:t>
            </w:r>
            <w:r>
              <w:rPr>
                <w:rFonts w:ascii="Times New Roman" w:cs="宋体" w:eastAsia="宋体" w:hAnsi="Times New Roman"/>
                <w:sz w:val="18"/>
                <w:szCs w:val="18"/>
              </w:rPr>
              <w:t>大学数学、</w:t>
            </w:r>
            <w:r>
              <w:rPr>
                <w:rFonts w:ascii="Times New Roman" w:cs="宋体" w:eastAsia="宋体" w:hAnsi="Times New Roman" w:hint="eastAsia"/>
                <w:sz w:val="18"/>
                <w:szCs w:val="18"/>
              </w:rPr>
              <w:t>综合英语、五粮文化育人学思践悟等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公共课部、思政课部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演讲比赛、摄影比赛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宣传部、学工处·武装部、团委、公共课部、各专业系</w:t>
            </w:r>
          </w:p>
        </w:tc>
      </w:tr>
      <w:tr>
        <w:tblPrEx/>
        <w:trPr>
          <w:cantSplit/>
          <w:trHeight w:val="1697"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职业素质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kern w:val="0"/>
                <w:sz w:val="18"/>
                <w:szCs w:val="18"/>
              </w:rPr>
              <w:t>思想道德与法治</w:t>
            </w:r>
            <w:r>
              <w:rPr>
                <w:rFonts w:ascii="Times New Roman" w:cs="宋体" w:eastAsia="宋体" w:hAnsi="Times New Roman" w:hint="eastAsia"/>
                <w:bCs/>
                <w:kern w:val="0"/>
                <w:sz w:val="18"/>
                <w:szCs w:val="18"/>
              </w:rPr>
              <w:t>、</w:t>
            </w:r>
            <w:r>
              <w:rPr>
                <w:rFonts w:ascii="Times New Roman" w:cs="宋体" w:eastAsia="宋体" w:hAnsi="Times New Roman" w:hint="eastAsia"/>
                <w:kern w:val="0"/>
                <w:sz w:val="18"/>
                <w:szCs w:val="18"/>
              </w:rPr>
              <w:t>大学生创新创业基础、</w:t>
            </w:r>
            <w:r>
              <w:rPr>
                <w:rFonts w:ascii="Times New Roman" w:cs="宋体" w:eastAsia="宋体" w:hAnsi="Times New Roman" w:hint="eastAsia"/>
                <w:sz w:val="18"/>
                <w:szCs w:val="18"/>
              </w:rPr>
              <w:t>职业生涯规划、信息技术、劳动教育等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公共课部、思政课部、就业创业学院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互联网+创业大赛、通用职业技能大赛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学工处·武装部、团委、就业创业学院、公共课部、各专业系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基本通用能力</w:t>
            </w:r>
          </w:p>
        </w:tc>
        <w:tc>
          <w:tcPr>
            <w:tcW w:w="2127" w:type="dxa"/>
            <w:tcBorders/>
            <w:vAlign w:val="center"/>
          </w:tcPr>
          <w:p>
            <w:pPr>
              <w:pStyle w:val="style0"/>
              <w:rPr>
                <w:rFonts w:ascii="Times New Roman" w:eastAsia="宋体" w:hAnsi="Times New Roman"/>
                <w:sz w:val="18"/>
                <w:szCs w:val="18"/>
              </w:rPr>
            </w:pPr>
            <w:r>
              <w:rPr>
                <w:rFonts w:ascii="Times New Roman" w:cs="宋体" w:eastAsia="宋体" w:hAnsi="Times New Roman" w:hint="eastAsia"/>
                <w:sz w:val="18"/>
                <w:szCs w:val="18"/>
              </w:rPr>
              <w:t>实用</w:t>
            </w:r>
            <w:r>
              <w:rPr>
                <w:rFonts w:ascii="Times New Roman" w:cs="宋体" w:eastAsia="宋体" w:hAnsi="Times New Roman"/>
                <w:sz w:val="18"/>
                <w:szCs w:val="18"/>
              </w:rPr>
              <w:t>大学数学、</w:t>
            </w:r>
            <w:r>
              <w:rPr>
                <w:rFonts w:ascii="Times New Roman" w:cs="宋体" w:eastAsia="宋体" w:hAnsi="Times New Roman" w:hint="eastAsia"/>
                <w:sz w:val="18"/>
                <w:szCs w:val="18"/>
              </w:rPr>
              <w:t>综合英语、信息技术、劳动教育等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英语角、数学建模社、有关社团、迎新宣传活动</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学工处、团委、公共课部、各专业系</w:t>
            </w:r>
          </w:p>
        </w:tc>
      </w:tr>
      <w:tr>
        <w:tblPrEx/>
        <w:trPr>
          <w:cantSplit/>
          <w:trHeight w:val="728"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关键社会能力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职业生涯规划、综合英语、信息技术、劳动教育等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综治安全专题教育活动、世界粮食、世界读书日、劳动周等活动</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学工处·武装部、团委、党办、安全保卫处、后勤服务中心、各专业系</w:t>
            </w:r>
          </w:p>
        </w:tc>
      </w:tr>
      <w:tr>
        <w:tblPrEx/>
        <w:trPr>
          <w:cantSplit/>
          <w:trHeight w:val="533"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创新创业能力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大学生创新创业基础</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创客空间、创新创业实践</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团委、就业创业学院、各专业系</w:t>
            </w:r>
          </w:p>
        </w:tc>
      </w:tr>
      <w:tr>
        <w:tblPrEx/>
        <w:trPr>
          <w:cantSplit/>
        </w:trPr>
        <w:tc>
          <w:tcPr>
            <w:tcW w:w="778"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素质能力提升阶段</w:t>
            </w:r>
          </w:p>
        </w:tc>
        <w:tc>
          <w:tcPr>
            <w:tcW w:w="595"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第3-4学期</w:t>
            </w: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思想政治素质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习近平新时代中国特色社会主义思想概论、形势与政策等</w:t>
            </w:r>
          </w:p>
        </w:tc>
        <w:tc>
          <w:tcPr>
            <w:tcW w:w="1261"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思政课部、</w:t>
            </w:r>
          </w:p>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升旗仪式、社团活动、社会实践、大学生假期社会调查、专题讲座等</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教务处、学工处·武装部、团委、专业系、党办、宣传部、思政部、公共课部</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身心健康</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体育与健康、劳动教育等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公共课部、学工处·武装部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体育社团活动、阳光体育运动、晨跑活动等</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学工处·武装部、团委、专业系、公共课部、各专业系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文化素质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信息技术、五粮文化育人学思践悟、人文素养</w:t>
            </w:r>
            <w:r>
              <w:rPr>
                <w:rFonts w:ascii="Times New Roman" w:cs="宋体" w:eastAsia="宋体" w:hAnsi="Times New Roman"/>
                <w:sz w:val="18"/>
                <w:szCs w:val="18"/>
              </w:rPr>
              <w:t>、</w:t>
            </w:r>
            <w:r>
              <w:rPr>
                <w:rFonts w:ascii="Times New Roman" w:cs="宋体" w:eastAsia="宋体" w:hAnsi="Times New Roman" w:hint="eastAsia"/>
                <w:sz w:val="18"/>
                <w:szCs w:val="18"/>
              </w:rPr>
              <w:t>科学素养、信息素养、</w:t>
            </w:r>
            <w:r>
              <w:rPr>
                <w:rFonts w:ascii="Times New Roman" w:cs="宋体" w:eastAsia="宋体" w:hAnsi="Times New Roman"/>
                <w:sz w:val="18"/>
                <w:szCs w:val="18"/>
              </w:rPr>
              <w:t>美育素养</w:t>
            </w:r>
            <w:r>
              <w:rPr>
                <w:rFonts w:ascii="Times New Roman" w:cs="宋体" w:eastAsia="宋体" w:hAnsi="Times New Roman" w:hint="eastAsia"/>
                <w:sz w:val="18"/>
                <w:szCs w:val="18"/>
              </w:rPr>
              <w:t>公共选修课</w:t>
            </w:r>
            <w:r>
              <w:rPr>
                <w:rFonts w:ascii="Times New Roman" w:cs="宋体" w:eastAsia="宋体" w:hAnsi="Times New Roman"/>
                <w:sz w:val="18"/>
                <w:szCs w:val="18"/>
              </w:rPr>
              <w:t>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公共课部、思政课部、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演讲比赛、摄影比赛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宣传部、学工处·武装部、团委、公共课部、各专业系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职业素质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职业生涯规划、劳动教育等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技能节比赛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教务处、公共课部、思政课部、各专业系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基本通用能力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劳动教育、大学生就业指导等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英语角、5.25专题活动、心理健康专题讲座等</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学工处·武装部、团委、公共课部、思政部</w:t>
            </w:r>
            <w:r>
              <w:rPr>
                <w:rFonts w:ascii="Times New Roman" w:cs="宋体" w:eastAsia="宋体" w:hAnsi="Times New Roman"/>
                <w:sz w:val="18"/>
                <w:szCs w:val="18"/>
              </w:rPr>
              <w:t>、</w:t>
            </w:r>
            <w:r>
              <w:rPr>
                <w:rFonts w:ascii="Times New Roman" w:cs="宋体" w:eastAsia="宋体" w:hAnsi="Times New Roman" w:hint="eastAsia"/>
                <w:sz w:val="18"/>
                <w:szCs w:val="18"/>
              </w:rPr>
              <w:t>各专业系</w:t>
            </w:r>
          </w:p>
        </w:tc>
      </w:tr>
      <w:tr>
        <w:tblPrEx/>
        <w:trPr>
          <w:cantSplit/>
          <w:trHeight w:val="1220"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关键社会能力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职业生涯规划、劳动教育、创新创业实践等</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公共课部、就业创业学院、各专业系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社团活动、职前专项培训、社会实践、大学生假期社会调查、迎新接待、专题讲座等</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学工处·武装部、团委、专业系、党办、宣传部、思政课部、公共课部</w:t>
            </w:r>
          </w:p>
        </w:tc>
      </w:tr>
      <w:tr>
        <w:tblPrEx/>
        <w:trPr>
          <w:cantSplit/>
          <w:trHeight w:val="682"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创新创业能力</w:t>
            </w:r>
          </w:p>
        </w:tc>
        <w:tc>
          <w:tcPr>
            <w:tcW w:w="2127" w:type="dxa"/>
            <w:tcBorders/>
            <w:vAlign w:val="center"/>
          </w:tcPr>
          <w:p>
            <w:pPr>
              <w:pStyle w:val="style0"/>
              <w:jc w:val="center"/>
              <w:rPr>
                <w:rFonts w:ascii="Times New Roman" w:eastAsia="宋体" w:hAnsi="Times New Roman"/>
                <w:sz w:val="18"/>
                <w:szCs w:val="18"/>
              </w:rPr>
            </w:pPr>
            <w:r>
              <w:rPr>
                <w:rFonts w:ascii="Times New Roman" w:cs="仿宋" w:eastAsia="宋体" w:hAnsi="Times New Roman" w:hint="eastAsia"/>
                <w:kern w:val="0"/>
                <w:sz w:val="18"/>
                <w:szCs w:val="18"/>
              </w:rPr>
              <w:t>创新</w:t>
            </w:r>
            <w:r>
              <w:rPr>
                <w:rFonts w:ascii="Times New Roman" w:cs="仿宋" w:eastAsia="宋体" w:hAnsi="Times New Roman"/>
                <w:kern w:val="0"/>
                <w:sz w:val="18"/>
                <w:szCs w:val="18"/>
              </w:rPr>
              <w:t>创业类选修课、</w:t>
            </w:r>
            <w:r>
              <w:rPr>
                <w:rFonts w:ascii="Times New Roman" w:cs="仿宋" w:eastAsia="宋体" w:hAnsi="Times New Roman" w:hint="eastAsia"/>
                <w:kern w:val="0"/>
                <w:sz w:val="18"/>
                <w:szCs w:val="18"/>
              </w:rPr>
              <w:t>大学生就业</w:t>
            </w:r>
            <w:r>
              <w:rPr>
                <w:rFonts w:ascii="Times New Roman" w:cs="仿宋" w:eastAsia="宋体" w:hAnsi="Times New Roman"/>
                <w:kern w:val="0"/>
                <w:sz w:val="18"/>
                <w:szCs w:val="18"/>
              </w:rPr>
              <w:t>指导等课程</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就业创业学院</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创新创业实践、创业大赛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学工处·武装部、团委、就业创业学院、各专业系</w:t>
            </w:r>
          </w:p>
        </w:tc>
      </w:tr>
      <w:tr>
        <w:tblPrEx/>
        <w:trPr>
          <w:cantSplit/>
          <w:trHeight w:val="1050" w:hRule="atLeast"/>
        </w:trPr>
        <w:tc>
          <w:tcPr>
            <w:tcW w:w="778"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毕业教育和适应社会阶段</w:t>
            </w:r>
          </w:p>
        </w:tc>
        <w:tc>
          <w:tcPr>
            <w:tcW w:w="595" w:type="dxa"/>
            <w:vMerge w:val="restart"/>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第5-6学期</w:t>
            </w: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思想政治素质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专题讲座</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党办、宣传部、思政课部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升旗仪式、大学生应征入伍宣传教育活动、感恩教育</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学工处·武装部、团委、党办、宣传部、就业创业学院、教务处、专业系</w:t>
            </w:r>
          </w:p>
        </w:tc>
      </w:tr>
      <w:tr>
        <w:tblPrEx/>
        <w:trPr>
          <w:cantSplit/>
          <w:trHeight w:val="728"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身心健康</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毕业生心理健康讲座</w:t>
            </w:r>
          </w:p>
        </w:tc>
        <w:tc>
          <w:tcPr>
            <w:tcW w:w="1261" w:type="dxa"/>
            <w:tcBorders/>
            <w:vAlign w:val="center"/>
          </w:tcPr>
          <w:p>
            <w:pPr>
              <w:pStyle w:val="style0"/>
              <w:jc w:val="center"/>
              <w:rPr>
                <w:rFonts w:ascii="Times New Roman" w:eastAsia="宋体" w:hAnsi="Times New Roman"/>
                <w:sz w:val="18"/>
                <w:szCs w:val="18"/>
              </w:rPr>
            </w:pPr>
            <w:r>
              <w:rPr>
                <w:rFonts w:ascii="Times New Roman" w:eastAsia="宋体" w:hAnsi="Times New Roman" w:hint="eastAsia"/>
                <w:sz w:val="18"/>
                <w:szCs w:val="18"/>
              </w:rPr>
              <w:t>思政课部</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运动会、体育社团、运动队、5.25专题活动</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学工处·武装部、团委、党办、宣传部、安全保卫处、公共课部、各专业系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文化素质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学生社团</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公共课部、各专业系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策划方案</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学工处·武装部、团委、各专业系</w:t>
            </w:r>
          </w:p>
        </w:tc>
      </w:tr>
      <w:tr>
        <w:tblPrEx/>
        <w:trPr>
          <w:cantSpli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职业素质</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社会实践</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策划方案</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学工处·武装部、团委、各专业系</w:t>
            </w:r>
          </w:p>
        </w:tc>
      </w:tr>
      <w:tr>
        <w:tblPrEx/>
        <w:trPr>
          <w:cantSplit/>
          <w:trHeight w:val="656"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基本通用能力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毕业设计</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企业见习、专业竞赛</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教务处、就业创业学院、各专业系</w:t>
            </w:r>
          </w:p>
        </w:tc>
      </w:tr>
      <w:tr>
        <w:tblPrEx/>
        <w:trPr>
          <w:cantSplit/>
          <w:trHeight w:val="698"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关键社会能力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毕业岗位实习</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感恩教育、毕业典礼、创新创业社团活动、创客空间活动、毕业巡演</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院办、党办、宣传部、学工处·武装部、团委、就业创业学院、各专业系</w:t>
            </w:r>
          </w:p>
        </w:tc>
      </w:tr>
      <w:tr>
        <w:tblPrEx/>
        <w:trPr>
          <w:cantSplit/>
          <w:trHeight w:val="698" w:hRule="atLeast"/>
        </w:trPr>
        <w:tc>
          <w:tcPr>
            <w:tcW w:w="778" w:type="dxa"/>
            <w:vMerge w:val="continue"/>
            <w:tcBorders/>
            <w:vAlign w:val="center"/>
          </w:tcPr>
          <w:p>
            <w:pPr>
              <w:pStyle w:val="style0"/>
              <w:jc w:val="center"/>
              <w:rPr>
                <w:rFonts w:ascii="Times New Roman" w:cs="宋体" w:eastAsia="宋体" w:hAnsi="Times New Roman"/>
                <w:sz w:val="18"/>
                <w:szCs w:val="18"/>
              </w:rPr>
            </w:pPr>
          </w:p>
        </w:tc>
        <w:tc>
          <w:tcPr>
            <w:tcW w:w="595" w:type="dxa"/>
            <w:vMerge w:val="continue"/>
            <w:tcBorders/>
            <w:vAlign w:val="center"/>
          </w:tcPr>
          <w:p>
            <w:pPr>
              <w:pStyle w:val="style0"/>
              <w:jc w:val="center"/>
              <w:rPr>
                <w:rFonts w:ascii="Times New Roman" w:cs="宋体" w:eastAsia="宋体" w:hAnsi="Times New Roman"/>
                <w:sz w:val="18"/>
                <w:szCs w:val="18"/>
              </w:rPr>
            </w:pPr>
          </w:p>
        </w:tc>
        <w:tc>
          <w:tcPr>
            <w:tcW w:w="587" w:type="dxa"/>
            <w:tcBorders/>
            <w:vAlign w:val="center"/>
          </w:tcPr>
          <w:p>
            <w:pPr>
              <w:pStyle w:val="style0"/>
              <w:jc w:val="center"/>
              <w:rPr>
                <w:rFonts w:ascii="Times New Roman" w:cs="宋体" w:eastAsia="宋体" w:hAnsi="Times New Roman"/>
                <w:sz w:val="18"/>
                <w:szCs w:val="18"/>
              </w:rPr>
            </w:pPr>
            <w:r>
              <w:rPr>
                <w:rFonts w:ascii="Times New Roman" w:cs="宋体" w:eastAsia="宋体" w:hAnsi="Times New Roman" w:hint="eastAsia"/>
                <w:sz w:val="18"/>
                <w:szCs w:val="18"/>
              </w:rPr>
              <w:t>创新创业能力</w:t>
            </w:r>
          </w:p>
        </w:tc>
        <w:tc>
          <w:tcPr>
            <w:tcW w:w="212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创新创业实践</w:t>
            </w:r>
          </w:p>
        </w:tc>
        <w:tc>
          <w:tcPr>
            <w:tcW w:w="1261"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各专业系</w:t>
            </w:r>
          </w:p>
        </w:tc>
        <w:tc>
          <w:tcPr>
            <w:tcW w:w="1747"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创业讲座、培训</w:t>
            </w:r>
          </w:p>
        </w:tc>
        <w:tc>
          <w:tcPr>
            <w:tcW w:w="1739" w:type="dxa"/>
            <w:tcBorders/>
            <w:vAlign w:val="center"/>
          </w:tcPr>
          <w:p>
            <w:pPr>
              <w:pStyle w:val="style0"/>
              <w:jc w:val="center"/>
              <w:rPr>
                <w:rFonts w:ascii="Times New Roman" w:eastAsia="宋体" w:hAnsi="Times New Roman"/>
                <w:sz w:val="18"/>
                <w:szCs w:val="18"/>
              </w:rPr>
            </w:pPr>
            <w:r>
              <w:rPr>
                <w:rFonts w:ascii="Times New Roman" w:cs="宋体" w:eastAsia="宋体" w:hAnsi="Times New Roman" w:hint="eastAsia"/>
                <w:sz w:val="18"/>
                <w:szCs w:val="18"/>
              </w:rPr>
              <w:t>就业创业学院、各专业系</w:t>
            </w:r>
          </w:p>
        </w:tc>
      </w:tr>
    </w:tbl>
    <w:p>
      <w:pPr>
        <w:pStyle w:val="style4103"/>
        <w:ind w:firstLine="0" w:firstLineChars="0"/>
        <w:rPr>
          <w:rFonts w:ascii="Times New Roman" w:eastAsia="宋体" w:hAnsi="Times New Roman"/>
          <w:b/>
        </w:rPr>
      </w:pPr>
      <w:r>
        <w:rPr>
          <w:rFonts w:ascii="Times New Roman" w:eastAsia="宋体" w:hAnsi="Times New Roman" w:hint="eastAsia"/>
          <w:b/>
        </w:rPr>
        <w:t xml:space="preserve">  </w:t>
      </w:r>
      <w:r>
        <w:rPr>
          <w:rFonts w:ascii="Times New Roman" w:eastAsia="宋体" w:hAnsi="Times New Roman" w:hint="eastAsia"/>
          <w:bCs/>
        </w:rPr>
        <w:t xml:space="preserve">   2.专业职业能力、素质与创新创业能力教育的组织实施</w:t>
      </w:r>
    </w:p>
    <w:p>
      <w:pPr>
        <w:pStyle w:val="style0"/>
        <w:spacing w:lineRule="exact" w:line="380"/>
        <w:ind w:firstLine="420" w:firstLineChars="200"/>
        <w:rPr>
          <w:rFonts w:ascii="宋体" w:cs="宋体" w:eastAsia="宋体" w:hAnsi="宋体"/>
        </w:rPr>
      </w:pPr>
      <w:r>
        <w:rPr>
          <w:rFonts w:ascii="宋体" w:cs="宋体" w:eastAsia="宋体" w:hAnsi="宋体" w:hint="eastAsia"/>
        </w:rPr>
        <w:t>信息安全产业是支撑和保障国家信息安全的重要基础，肩负着为国家信息化基础设施和信息系统安全保障提供安全产品及服务的战略任务。我国正处在转变发展方式、优化经济结构、转换增长动理的关键时期，制造强国、网络强国建设进入爬坡迈坎的攻坚期，信息安全行业作为新兴赛道，尚在快速发展阶段，因此，建立一支规模宏大、素质优良、结构优化的网络安全人才队伍，已成为维护国家网络安全和建设网络强国的核心需要。</w:t>
      </w:r>
    </w:p>
    <w:p>
      <w:pPr>
        <w:pStyle w:val="style0"/>
        <w:spacing w:lineRule="exact" w:line="380"/>
        <w:ind w:firstLine="420" w:firstLineChars="200"/>
        <w:rPr>
          <w:rFonts w:ascii="宋体" w:cs="宋体" w:eastAsia="宋体" w:hAnsi="宋体"/>
        </w:rPr>
      </w:pPr>
      <w:r>
        <w:rPr>
          <w:rFonts w:ascii="宋体" w:cs="宋体" w:eastAsia="宋体" w:hAnsi="宋体" w:hint="eastAsia"/>
        </w:rPr>
        <w:t>软件技术专业在综合实例排名上总体靠前，一直有着稳定的生涯规划，师资及实训场较全面，是龙头专业应用技术开发的坚强保障，也是信息安全上游产业链的重要组成。在教学模式上建立以实践技能为核心的专业项目型、任务驱动化、工作过程系统化的教学体。</w:t>
      </w:r>
    </w:p>
    <w:p>
      <w:pPr>
        <w:pStyle w:val="style0"/>
        <w:spacing w:lineRule="exact" w:line="380"/>
        <w:ind w:firstLine="420" w:firstLineChars="200"/>
        <w:rPr>
          <w:rFonts w:ascii="宋体" w:cs="宋体" w:eastAsia="宋体" w:hAnsi="宋体"/>
        </w:rPr>
      </w:pPr>
      <w:r>
        <w:rPr>
          <w:rFonts w:ascii="宋体" w:cs="宋体" w:eastAsia="宋体" w:hAnsi="宋体" w:hint="eastAsia"/>
        </w:rPr>
        <w:t>通过对省内企业调研走访得知：</w:t>
      </w:r>
      <w:r>
        <w:rPr>
          <w:rFonts w:ascii="宋体" w:cs="宋体" w:eastAsia="宋体" w:hAnsi="宋体"/>
        </w:rPr>
        <w:t>网络安全技术正朝着更复杂化、多元化、个性化、智能化的方向发展，且技术迭代时间愈发缩短，对网络信息安全的产品研发提出了更高的要求。随着数据量的不断提高，下游企业的经营规模不断扩大，网络安全软件的渗透率也逐渐提高，企业对于信息安全行业的需求总量将不断增长。</w:t>
      </w:r>
      <w:r>
        <w:rPr>
          <w:rFonts w:ascii="宋体" w:cs="宋体" w:eastAsia="宋体" w:hAnsi="宋体" w:hint="eastAsia"/>
        </w:rPr>
        <w:t>行业软件开发需求有：基于信息安全的软件系统开发、安全操作系统开发、网络系统开发等需求。信息安全公司平台的软件开发需求：软件后台平台搭建、网站前端推广开发、前后端整合开发。</w:t>
      </w:r>
    </w:p>
    <w:p>
      <w:pPr>
        <w:pStyle w:val="style0"/>
        <w:spacing w:lineRule="exact" w:line="380"/>
        <w:ind w:firstLine="420" w:firstLineChars="200"/>
        <w:rPr>
          <w:rFonts w:ascii="宋体" w:cs="宋体" w:eastAsia="宋体" w:hAnsi="宋体"/>
        </w:rPr>
      </w:pPr>
      <w:r>
        <w:rPr>
          <w:rFonts w:ascii="宋体" w:cs="宋体" w:eastAsia="宋体" w:hAnsi="宋体" w:hint="eastAsia"/>
        </w:rPr>
        <w:t>根据以促进就业为导向，以创新创业为构建平台，以学习能力培养为目标。我们将专业就业方向定位于基于信息安全的软件开发上，根据岗位需求，分网站前端开发、后端软件开发2个方向教学，将理论与实践相结合、教学与真实项目零对接的方法对学生进行培养；以实际项目为平台，着力解决学生学习能力培养；最后以竞赛来检验学习成效。</w:t>
      </w:r>
    </w:p>
    <w:p>
      <w:pPr>
        <w:pStyle w:val="style0"/>
        <w:spacing w:lineRule="exact" w:line="380"/>
        <w:ind w:firstLine="420" w:firstLineChars="200"/>
        <w:rPr>
          <w:rFonts w:ascii="宋体" w:cs="宋体" w:eastAsia="宋体" w:hAnsi="宋体"/>
        </w:rPr>
      </w:pPr>
      <w:r>
        <w:rPr>
          <w:rFonts w:ascii="宋体" w:cs="宋体" w:eastAsia="宋体" w:hAnsi="宋体" w:hint="eastAsia"/>
        </w:rPr>
        <w:t>根据专业就业岗位和人才培养方案进程表，并结合创新创业教育组织实施本专业教学活动，通过专业教学活动提升学生的职业素养和职业能力。</w:t>
      </w:r>
    </w:p>
    <w:p>
      <w:pPr>
        <w:pStyle w:val="style0"/>
        <w:spacing w:lineRule="exact" w:line="380"/>
        <w:ind w:firstLine="420" w:firstLineChars="200"/>
        <w:rPr>
          <w:rFonts w:ascii="宋体" w:cs="宋体" w:eastAsia="宋体" w:hAnsi="宋体"/>
        </w:rPr>
      </w:pPr>
      <w:r>
        <w:rPr>
          <w:rFonts w:ascii="宋体" w:cs="宋体" w:eastAsia="宋体" w:hAnsi="宋体" w:hint="eastAsia"/>
        </w:rPr>
        <w:t>对本专业学生专业知识的教学和创新创业活动分成三个阶段完成，由本系和教务处、继续教育处、党办﹒宣传部、就业处等部门协同组织在校内和校外实施。其中，第一阶段，主要是本专业新同学对商业网站基本风格、特点及软件技术专业进行一个全面的认知阶段；第二阶段，主要针对就业岗位进行专业素养和专业技能教学；第三阶段，主要是对信息安全企业进行认知和本专业毕业教育阶段。</w:t>
      </w:r>
    </w:p>
    <w:p>
      <w:pPr>
        <w:pStyle w:val="style0"/>
        <w:jc w:val="center"/>
        <w:rPr>
          <w:rFonts w:ascii="Times New Roman" w:cs="Times New Roman" w:eastAsia="宋体" w:hAnsi="Times New Roman"/>
          <w:b/>
        </w:rPr>
      </w:pPr>
      <w:r>
        <w:rPr>
          <w:rFonts w:ascii="Times New Roman" w:cs="Times New Roman" w:eastAsia="宋体" w:hAnsi="Times New Roman" w:hint="eastAsia"/>
          <w:b/>
        </w:rPr>
        <w:t>专业职业素质教育教学与创新实践育人组织安排表</w:t>
      </w:r>
    </w:p>
    <w:tbl>
      <w:tblPr>
        <w:tblStyle w:val="style105"/>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0"/>
        <w:gridCol w:w="720"/>
        <w:gridCol w:w="1210"/>
        <w:gridCol w:w="1560"/>
        <w:gridCol w:w="1190"/>
        <w:gridCol w:w="2070"/>
        <w:gridCol w:w="1005"/>
      </w:tblGrid>
      <w:tr>
        <w:trPr>
          <w:cantSplit/>
          <w:jc w:val="center"/>
        </w:trPr>
        <w:tc>
          <w:tcPr>
            <w:tcW w:w="900" w:type="dxa"/>
            <w:vMerge w:val="restart"/>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培养阶段</w:t>
            </w:r>
          </w:p>
        </w:tc>
        <w:tc>
          <w:tcPr>
            <w:tcW w:w="720" w:type="dxa"/>
            <w:vMerge w:val="restart"/>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实施</w:t>
            </w:r>
          </w:p>
          <w:p>
            <w:pPr>
              <w:pStyle w:val="style0"/>
              <w:jc w:val="center"/>
              <w:rPr>
                <w:rFonts w:ascii="宋体" w:cs="宋体" w:eastAsia="宋体" w:hAnsi="宋体"/>
                <w:b/>
                <w:sz w:val="18"/>
                <w:szCs w:val="18"/>
              </w:rPr>
            </w:pPr>
            <w:r>
              <w:rPr>
                <w:rFonts w:ascii="宋体" w:cs="宋体" w:eastAsia="宋体" w:hAnsi="宋体" w:hint="eastAsia"/>
                <w:b/>
                <w:sz w:val="18"/>
                <w:szCs w:val="18"/>
              </w:rPr>
              <w:t>学期</w:t>
            </w:r>
          </w:p>
        </w:tc>
        <w:tc>
          <w:tcPr>
            <w:tcW w:w="1210" w:type="dxa"/>
            <w:vMerge w:val="restart"/>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培养与提升内容</w:t>
            </w:r>
          </w:p>
        </w:tc>
        <w:tc>
          <w:tcPr>
            <w:tcW w:w="5825" w:type="dxa"/>
            <w:gridSpan w:val="4"/>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组织实施方式与部门</w:t>
            </w:r>
          </w:p>
        </w:tc>
      </w:tr>
      <w:tr>
        <w:tblPrEx/>
        <w:trPr>
          <w:cantSplit/>
          <w:jc w:val="center"/>
        </w:trPr>
        <w:tc>
          <w:tcPr>
            <w:tcW w:w="900" w:type="dxa"/>
            <w:vMerge w:val="continue"/>
            <w:tcBorders/>
            <w:vAlign w:val="center"/>
          </w:tcPr>
          <w:p>
            <w:pPr>
              <w:pStyle w:val="style0"/>
              <w:jc w:val="center"/>
              <w:rPr>
                <w:rFonts w:ascii="宋体" w:cs="宋体" w:eastAsia="宋体" w:hAnsi="宋体"/>
                <w:b/>
                <w:sz w:val="18"/>
                <w:szCs w:val="18"/>
              </w:rPr>
            </w:pPr>
          </w:p>
        </w:tc>
        <w:tc>
          <w:tcPr>
            <w:tcW w:w="720" w:type="dxa"/>
            <w:vMerge w:val="continue"/>
            <w:tcBorders/>
            <w:vAlign w:val="center"/>
          </w:tcPr>
          <w:p>
            <w:pPr>
              <w:pStyle w:val="style0"/>
              <w:jc w:val="center"/>
              <w:rPr>
                <w:rFonts w:ascii="宋体" w:cs="宋体" w:eastAsia="宋体" w:hAnsi="宋体"/>
                <w:b/>
                <w:sz w:val="18"/>
                <w:szCs w:val="18"/>
              </w:rPr>
            </w:pPr>
          </w:p>
        </w:tc>
        <w:tc>
          <w:tcPr>
            <w:tcW w:w="1210" w:type="dxa"/>
            <w:vMerge w:val="continue"/>
            <w:tcBorders/>
            <w:vAlign w:val="center"/>
          </w:tcPr>
          <w:p>
            <w:pPr>
              <w:pStyle w:val="style0"/>
              <w:jc w:val="center"/>
              <w:rPr>
                <w:rFonts w:ascii="宋体" w:cs="宋体" w:eastAsia="宋体" w:hAnsi="宋体"/>
                <w:b/>
                <w:sz w:val="18"/>
                <w:szCs w:val="18"/>
              </w:rPr>
            </w:pPr>
          </w:p>
        </w:tc>
        <w:tc>
          <w:tcPr>
            <w:tcW w:w="1560" w:type="dxa"/>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课程教学</w:t>
            </w:r>
          </w:p>
        </w:tc>
        <w:tc>
          <w:tcPr>
            <w:tcW w:w="1190" w:type="dxa"/>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实施部门</w:t>
            </w:r>
          </w:p>
        </w:tc>
        <w:tc>
          <w:tcPr>
            <w:tcW w:w="2070" w:type="dxa"/>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实践育人</w:t>
            </w:r>
          </w:p>
        </w:tc>
        <w:tc>
          <w:tcPr>
            <w:tcW w:w="1005" w:type="dxa"/>
            <w:tcBorders/>
            <w:vAlign w:val="center"/>
          </w:tcPr>
          <w:p>
            <w:pPr>
              <w:pStyle w:val="style0"/>
              <w:jc w:val="center"/>
              <w:rPr>
                <w:rFonts w:ascii="宋体" w:cs="宋体" w:eastAsia="宋体" w:hAnsi="宋体"/>
                <w:b/>
                <w:sz w:val="18"/>
                <w:szCs w:val="18"/>
              </w:rPr>
            </w:pPr>
            <w:r>
              <w:rPr>
                <w:rFonts w:ascii="宋体" w:cs="宋体" w:eastAsia="宋体" w:hAnsi="宋体" w:hint="eastAsia"/>
                <w:b/>
                <w:sz w:val="18"/>
                <w:szCs w:val="18"/>
              </w:rPr>
              <w:t>实施部门</w:t>
            </w:r>
          </w:p>
        </w:tc>
      </w:tr>
      <w:tr>
        <w:tblPrEx/>
        <w:trPr>
          <w:cantSplit/>
          <w:jc w:val="center"/>
        </w:trPr>
        <w:tc>
          <w:tcPr>
            <w:tcW w:w="90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入学适应与职业探索教育阶段</w:t>
            </w:r>
          </w:p>
        </w:tc>
        <w:tc>
          <w:tcPr>
            <w:tcW w:w="72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第1学期</w:t>
            </w: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网站开发观念</w:t>
            </w:r>
          </w:p>
        </w:tc>
        <w:tc>
          <w:tcPr>
            <w:tcW w:w="1560" w:type="dxa"/>
            <w:tcBorders/>
            <w:vAlign w:val="center"/>
          </w:tcPr>
          <w:p>
            <w:pPr>
              <w:pStyle w:val="style0"/>
              <w:jc w:val="center"/>
              <w:rPr>
                <w:rFonts w:ascii="宋体" w:eastAsia="宋体" w:hAnsi="宋体"/>
                <w:color w:val="000000"/>
                <w:sz w:val="18"/>
                <w:szCs w:val="18"/>
              </w:rPr>
            </w:pPr>
            <w:r>
              <w:rPr>
                <w:rFonts w:ascii="宋体" w:eastAsia="宋体" w:hAnsi="宋体" w:hint="eastAsia"/>
                <w:color w:val="000000"/>
                <w:sz w:val="18"/>
                <w:szCs w:val="18"/>
              </w:rPr>
              <w:t>网页设计与制作</w:t>
            </w:r>
          </w:p>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JavaScript</w:t>
            </w:r>
          </w:p>
        </w:tc>
        <w:tc>
          <w:tcPr>
            <w:tcW w:w="1190" w:type="dxa"/>
            <w:tcBorders/>
            <w:vAlign w:val="center"/>
          </w:tcPr>
          <w:p>
            <w:pPr>
              <w:pStyle w:val="style0"/>
              <w:ind w:left="180" w:hanging="180" w:hangingChars="100"/>
              <w:jc w:val="left"/>
              <w:rPr>
                <w:rFonts w:ascii="宋体" w:cs="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课程实训、技能节、专业竞赛、创业实践活动、专题讲座等</w:t>
            </w:r>
          </w:p>
        </w:tc>
        <w:tc>
          <w:tcPr>
            <w:tcW w:w="1005"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教务处、宣传部、信息工程系</w:t>
            </w:r>
          </w:p>
        </w:tc>
      </w:tr>
      <w:tr>
        <w:tblPrEx/>
        <w:trPr>
          <w:cantSplit/>
          <w:jc w:val="center"/>
        </w:trPr>
        <w:tc>
          <w:tcPr>
            <w:tcW w:w="900" w:type="dxa"/>
            <w:vMerge w:val="restart"/>
            <w:tcBorders/>
            <w:vAlign w:val="center"/>
          </w:tcPr>
          <w:p>
            <w:pPr>
              <w:pStyle w:val="style0"/>
              <w:jc w:val="center"/>
              <w:rPr>
                <w:rFonts w:ascii="宋体" w:cs="宋体" w:eastAsia="宋体" w:hAnsi="宋体"/>
                <w:sz w:val="18"/>
                <w:szCs w:val="18"/>
              </w:rPr>
            </w:pPr>
            <w:r>
              <w:rPr>
                <w:rFonts w:ascii="宋体" w:cs="宋体" w:eastAsia="宋体" w:hAnsi="宋体" w:hint="eastAsia"/>
                <w:color w:val="000000"/>
                <w:sz w:val="18"/>
                <w:szCs w:val="18"/>
              </w:rPr>
              <w:t>职前素质形成教育阶段</w:t>
            </w:r>
          </w:p>
        </w:tc>
        <w:tc>
          <w:tcPr>
            <w:tcW w:w="720" w:type="dxa"/>
            <w:vMerge w:val="restart"/>
            <w:tcBorders/>
            <w:vAlign w:val="center"/>
          </w:tcPr>
          <w:p>
            <w:pPr>
              <w:pStyle w:val="style0"/>
              <w:jc w:val="center"/>
              <w:rPr>
                <w:rFonts w:ascii="宋体" w:cs="宋体" w:eastAsia="宋体" w:hAnsi="宋体"/>
                <w:sz w:val="18"/>
                <w:szCs w:val="18"/>
              </w:rPr>
            </w:pPr>
            <w:r>
              <w:rPr>
                <w:rFonts w:ascii="宋体" w:cs="宋体" w:eastAsia="宋体" w:hAnsi="宋体" w:hint="eastAsia"/>
                <w:color w:val="000000"/>
                <w:sz w:val="18"/>
                <w:szCs w:val="18"/>
              </w:rPr>
              <w:t>第2学期至第4学期</w:t>
            </w: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企业基本编程能力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Java程序设计</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课程实训、技能节、专业竞赛、专题讲座等</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教务处、宣传部、信息工程系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信息安全企业数据库系统维护能力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数据库技术</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信息安全企业系统部署运维和实施能力</w:t>
            </w:r>
          </w:p>
        </w:tc>
        <w:tc>
          <w:tcPr>
            <w:tcW w:w="1560" w:type="dxa"/>
            <w:tcBorders/>
            <w:vAlign w:val="center"/>
          </w:tcPr>
          <w:p>
            <w:pPr>
              <w:pStyle w:val="style0"/>
              <w:jc w:val="center"/>
              <w:rPr>
                <w:rFonts w:ascii="宋体" w:eastAsia="宋体" w:hAnsi="宋体"/>
                <w:color w:val="000000"/>
                <w:sz w:val="18"/>
                <w:szCs w:val="18"/>
              </w:rPr>
            </w:pPr>
            <w:r>
              <w:rPr>
                <w:rFonts w:ascii="宋体" w:eastAsia="宋体" w:hAnsi="宋体" w:hint="eastAsia"/>
                <w:color w:val="000000"/>
                <w:sz w:val="18"/>
                <w:szCs w:val="18"/>
              </w:rPr>
              <w:t>Linux操作</w:t>
            </w:r>
          </w:p>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系统</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系统应用层b/s软件开发能力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Jsp程序设计</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课程实训、技能节、专业竞赛</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系统应用层软件测试能力</w:t>
            </w:r>
          </w:p>
        </w:tc>
        <w:tc>
          <w:tcPr>
            <w:tcW w:w="1560" w:type="dxa"/>
            <w:tcBorders/>
            <w:vAlign w:val="center"/>
          </w:tcPr>
          <w:p>
            <w:pPr>
              <w:pStyle w:val="style0"/>
              <w:jc w:val="center"/>
              <w:rPr>
                <w:rFonts w:ascii="宋体" w:eastAsia="宋体" w:hAnsi="宋体"/>
                <w:color w:val="000000"/>
                <w:sz w:val="18"/>
                <w:szCs w:val="18"/>
              </w:rPr>
            </w:pPr>
            <w:r>
              <w:rPr>
                <w:rFonts w:ascii="宋体" w:eastAsia="宋体" w:hAnsi="宋体" w:hint="eastAsia"/>
                <w:color w:val="000000"/>
                <w:sz w:val="18"/>
                <w:szCs w:val="18"/>
              </w:rPr>
              <w:t>软件测试入门</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课程实训、技能节、专业竞赛</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使用企业框架开发应用层软件能力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企业级框架开发</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编程框架设计能力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微信小程序</w:t>
            </w:r>
          </w:p>
        </w:tc>
        <w:tc>
          <w:tcPr>
            <w:tcW w:w="119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课程实训、企业文化的营造宣传、创业实践活动、专题讲座等</w:t>
            </w:r>
          </w:p>
        </w:tc>
        <w:tc>
          <w:tcPr>
            <w:tcW w:w="1005"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教务处、宣传部、信息工程系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网络技能理论水平</w:t>
            </w:r>
          </w:p>
        </w:tc>
        <w:tc>
          <w:tcPr>
            <w:tcW w:w="1560" w:type="dxa"/>
            <w:tcBorders/>
            <w:vAlign w:val="center"/>
          </w:tcPr>
          <w:p>
            <w:pPr>
              <w:pStyle w:val="style0"/>
              <w:spacing w:lineRule="exact" w:line="280"/>
              <w:jc w:val="center"/>
              <w:rPr>
                <w:rFonts w:ascii="宋体" w:eastAsia="宋体" w:hAnsi="宋体"/>
                <w:color w:val="000000"/>
                <w:sz w:val="18"/>
                <w:szCs w:val="18"/>
              </w:rPr>
            </w:pPr>
            <w:r>
              <w:rPr>
                <w:rFonts w:ascii="宋体" w:cs="宋体" w:eastAsia="宋体" w:hAnsi="宋体" w:hint="eastAsia"/>
                <w:sz w:val="18"/>
                <w:szCs w:val="18"/>
              </w:rPr>
              <w:t>计算机网络技术</w:t>
            </w:r>
          </w:p>
        </w:tc>
        <w:tc>
          <w:tcPr>
            <w:tcW w:w="119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模拟操作、真实平台操作</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网站前端快速开发和动态交互实现能力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Ajax、JQuery、BootStrap、JS函数集开发</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课程实训、技能节、专业竞赛</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restart"/>
            <w:tcBorders/>
            <w:vAlign w:val="center"/>
          </w:tcPr>
          <w:p>
            <w:pPr>
              <w:pStyle w:val="style0"/>
              <w:jc w:val="center"/>
              <w:rPr>
                <w:rFonts w:ascii="宋体" w:cs="宋体" w:eastAsia="宋体" w:hAnsi="宋体"/>
                <w:sz w:val="18"/>
                <w:szCs w:val="18"/>
              </w:rPr>
            </w:pPr>
            <w:r>
              <w:rPr>
                <w:rFonts w:ascii="宋体" w:cs="宋体" w:eastAsia="宋体" w:hAnsi="宋体" w:hint="eastAsia"/>
                <w:color w:val="000000"/>
                <w:sz w:val="18"/>
                <w:szCs w:val="18"/>
              </w:rPr>
              <w:t>职前素质提升教育阶段</w:t>
            </w:r>
          </w:p>
        </w:tc>
        <w:tc>
          <w:tcPr>
            <w:tcW w:w="720" w:type="dxa"/>
            <w:vMerge w:val="restart"/>
            <w:tcBorders/>
            <w:vAlign w:val="center"/>
          </w:tcPr>
          <w:p>
            <w:pPr>
              <w:pStyle w:val="style0"/>
              <w:jc w:val="center"/>
              <w:rPr>
                <w:rFonts w:ascii="宋体" w:cs="宋体" w:eastAsia="宋体" w:hAnsi="宋体"/>
                <w:sz w:val="18"/>
                <w:szCs w:val="18"/>
              </w:rPr>
            </w:pPr>
            <w:r>
              <w:rPr>
                <w:rFonts w:ascii="宋体" w:cs="宋体" w:eastAsia="宋体" w:hAnsi="宋体" w:hint="eastAsia"/>
                <w:color w:val="000000"/>
                <w:sz w:val="18"/>
                <w:szCs w:val="18"/>
              </w:rPr>
              <w:t>第5学期至第6学期</w:t>
            </w: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使用新技术能力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区块链应用开发</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使用网站前端新技术能力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kern w:val="0"/>
                <w:sz w:val="18"/>
                <w:szCs w:val="18"/>
              </w:rPr>
              <w:t>企业级框架MVVM</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鸿蒙应用开发、移动APP编程及项目推广营销能力</w:t>
            </w:r>
          </w:p>
        </w:tc>
        <w:tc>
          <w:tcPr>
            <w:tcW w:w="1560" w:type="dxa"/>
            <w:tcBorders/>
            <w:vAlign w:val="center"/>
          </w:tcPr>
          <w:p>
            <w:pPr>
              <w:pStyle w:val="style0"/>
              <w:jc w:val="center"/>
              <w:rPr>
                <w:rFonts w:ascii="宋体" w:cs="宋体" w:eastAsia="宋体" w:hAnsi="宋体"/>
                <w:color w:val="000000"/>
                <w:sz w:val="18"/>
                <w:szCs w:val="18"/>
              </w:rPr>
            </w:pPr>
            <w:r>
              <w:rPr>
                <w:rFonts w:ascii="宋体" w:eastAsia="宋体" w:hAnsi="宋体" w:hint="eastAsia"/>
                <w:color w:val="000000"/>
                <w:sz w:val="18"/>
                <w:szCs w:val="18"/>
              </w:rPr>
              <w:t>移动应用开发、人工智能应用技术</w:t>
            </w:r>
          </w:p>
        </w:tc>
        <w:tc>
          <w:tcPr>
            <w:tcW w:w="119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课程实训、专业竞赛</w:t>
            </w:r>
          </w:p>
        </w:tc>
        <w:tc>
          <w:tcPr>
            <w:tcW w:w="1005" w:type="dxa"/>
            <w:tcBorders/>
            <w:vAlign w:val="center"/>
          </w:tcPr>
          <w:p>
            <w:pPr>
              <w:pStyle w:val="style0"/>
              <w:jc w:val="center"/>
              <w:rPr>
                <w:rFonts w:ascii="宋体" w:eastAsia="宋体" w:hAnsi="宋体"/>
                <w:color w:val="000000"/>
                <w:sz w:val="18"/>
                <w:szCs w:val="18"/>
              </w:rPr>
            </w:pPr>
            <w:r>
              <w:rPr>
                <w:rFonts w:ascii="宋体" w:cs="宋体"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Arial" w:eastAsia="宋体" w:hAnsi="宋体"/>
                <w:color w:val="000000"/>
                <w:sz w:val="18"/>
                <w:szCs w:val="18"/>
              </w:rPr>
            </w:pPr>
            <w:r>
              <w:rPr>
                <w:rFonts w:ascii="宋体" w:cs="宋体" w:eastAsia="宋体" w:hAnsi="宋体" w:hint="eastAsia"/>
                <w:color w:val="000000"/>
                <w:sz w:val="18"/>
                <w:szCs w:val="18"/>
              </w:rPr>
              <w:t>企业基本编程能力</w:t>
            </w:r>
          </w:p>
        </w:tc>
        <w:tc>
          <w:tcPr>
            <w:tcW w:w="1560" w:type="dxa"/>
            <w:tcBorders/>
            <w:vAlign w:val="center"/>
          </w:tcPr>
          <w:p>
            <w:pPr>
              <w:pStyle w:val="style0"/>
              <w:spacing w:lineRule="exact" w:line="280"/>
              <w:jc w:val="center"/>
              <w:rPr>
                <w:rFonts w:ascii="宋体" w:eastAsia="宋体" w:hAnsi="宋体"/>
                <w:color w:val="000000"/>
                <w:sz w:val="18"/>
                <w:szCs w:val="18"/>
              </w:rPr>
            </w:pPr>
            <w:r>
              <w:rPr>
                <w:rFonts w:ascii="宋体" w:eastAsia="宋体" w:hAnsi="宋体" w:hint="eastAsia"/>
                <w:color w:val="000000"/>
                <w:sz w:val="18"/>
                <w:szCs w:val="18"/>
              </w:rPr>
              <w:t>Python程序设计</w:t>
            </w:r>
          </w:p>
        </w:tc>
        <w:tc>
          <w:tcPr>
            <w:tcW w:w="1190" w:type="dxa"/>
            <w:tcBorders/>
            <w:vAlign w:val="center"/>
          </w:tcPr>
          <w:p>
            <w:pPr>
              <w:pStyle w:val="style0"/>
              <w:jc w:val="center"/>
              <w:rPr>
                <w:rFonts w:ascii="宋体" w:cs="Arial" w:eastAsia="宋体" w:hAnsi="宋体"/>
                <w:color w:val="000000"/>
                <w:sz w:val="18"/>
                <w:szCs w:val="18"/>
              </w:rPr>
            </w:pPr>
            <w:r>
              <w:rPr>
                <w:rFonts w:ascii="宋体" w:cs="Arial" w:eastAsia="宋体" w:hAnsi="宋体" w:hint="eastAsia"/>
                <w:color w:val="000000"/>
                <w:sz w:val="18"/>
                <w:szCs w:val="18"/>
              </w:rPr>
              <w:t>信息安全技术应用专业群</w:t>
            </w:r>
          </w:p>
        </w:tc>
        <w:tc>
          <w:tcPr>
            <w:tcW w:w="2070" w:type="dxa"/>
            <w:tcBorders/>
            <w:vAlign w:val="center"/>
          </w:tcPr>
          <w:p>
            <w:pPr>
              <w:pStyle w:val="style0"/>
              <w:jc w:val="center"/>
              <w:rPr>
                <w:rFonts w:ascii="宋体" w:cs="Arial" w:eastAsia="宋体" w:hAnsi="宋体"/>
                <w:color w:val="000000"/>
                <w:sz w:val="18"/>
                <w:szCs w:val="18"/>
              </w:rPr>
            </w:pPr>
            <w:r>
              <w:rPr>
                <w:rFonts w:ascii="宋体" w:cs="宋体" w:eastAsia="宋体" w:hAnsi="宋体" w:hint="eastAsia"/>
                <w:color w:val="000000"/>
                <w:sz w:val="18"/>
                <w:szCs w:val="18"/>
              </w:rPr>
              <w:t>课程实训、技能节、专业竞赛</w:t>
            </w:r>
            <w:r>
              <w:rPr>
                <w:rFonts w:ascii="宋体" w:cs="Arial" w:eastAsia="宋体" w:hAnsi="宋体" w:hint="eastAsia"/>
                <w:color w:val="000000"/>
                <w:sz w:val="18"/>
                <w:szCs w:val="18"/>
              </w:rPr>
              <w:t>、专题讲座等</w:t>
            </w:r>
          </w:p>
        </w:tc>
        <w:tc>
          <w:tcPr>
            <w:tcW w:w="1005" w:type="dxa"/>
            <w:tcBorders/>
            <w:vAlign w:val="center"/>
          </w:tcPr>
          <w:p>
            <w:pPr>
              <w:pStyle w:val="style0"/>
              <w:jc w:val="center"/>
              <w:rPr>
                <w:rFonts w:ascii="宋体" w:cs="Arial" w:eastAsia="宋体" w:hAnsi="宋体"/>
                <w:color w:val="000000"/>
                <w:sz w:val="18"/>
                <w:szCs w:val="18"/>
              </w:rPr>
            </w:pPr>
            <w:r>
              <w:rPr>
                <w:rFonts w:ascii="宋体" w:cs="Arial" w:eastAsia="宋体" w:hAnsi="宋体" w:hint="eastAsia"/>
                <w:color w:val="000000"/>
                <w:sz w:val="18"/>
                <w:szCs w:val="18"/>
              </w:rPr>
              <w:t>教务处、信息工程系</w:t>
            </w:r>
          </w:p>
        </w:tc>
      </w:tr>
      <w:tr>
        <w:tblPrEx/>
        <w:trPr>
          <w:cantSplit/>
          <w:jc w:val="center"/>
        </w:trPr>
        <w:tc>
          <w:tcPr>
            <w:tcW w:w="900" w:type="dxa"/>
            <w:vMerge w:val="continue"/>
            <w:tcBorders/>
            <w:vAlign w:val="center"/>
          </w:tcPr>
          <w:p>
            <w:pPr>
              <w:pStyle w:val="style0"/>
              <w:jc w:val="center"/>
              <w:rPr>
                <w:rFonts w:ascii="宋体" w:cs="宋体" w:eastAsia="宋体" w:hAnsi="宋体"/>
                <w:sz w:val="18"/>
                <w:szCs w:val="18"/>
              </w:rPr>
            </w:pPr>
          </w:p>
        </w:tc>
        <w:tc>
          <w:tcPr>
            <w:tcW w:w="720" w:type="dxa"/>
            <w:vMerge w:val="continue"/>
            <w:tcBorders/>
            <w:vAlign w:val="center"/>
          </w:tcPr>
          <w:p>
            <w:pPr>
              <w:pStyle w:val="style0"/>
              <w:jc w:val="center"/>
              <w:rPr>
                <w:rFonts w:ascii="宋体" w:cs="宋体" w:eastAsia="宋体" w:hAnsi="宋体"/>
                <w:sz w:val="18"/>
                <w:szCs w:val="18"/>
              </w:rPr>
            </w:pPr>
          </w:p>
        </w:tc>
        <w:tc>
          <w:tcPr>
            <w:tcW w:w="121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毕业实习与就业意识、能力提升和准备</w:t>
            </w:r>
          </w:p>
        </w:tc>
        <w:tc>
          <w:tcPr>
            <w:tcW w:w="156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lang w:eastAsia="zh-CN"/>
              </w:rPr>
              <w:t>岗位实习</w:t>
            </w:r>
            <w:r>
              <w:rPr>
                <w:rFonts w:ascii="宋体" w:cs="宋体" w:eastAsia="宋体" w:hAnsi="宋体" w:hint="eastAsia"/>
                <w:color w:val="000000"/>
                <w:sz w:val="18"/>
                <w:szCs w:val="18"/>
              </w:rPr>
              <w:t>、毕业论文</w:t>
            </w:r>
          </w:p>
        </w:tc>
        <w:tc>
          <w:tcPr>
            <w:tcW w:w="119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数字经济教研室</w:t>
            </w:r>
          </w:p>
        </w:tc>
        <w:tc>
          <w:tcPr>
            <w:tcW w:w="2070"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毕业专业教育、职前专项培训、</w:t>
            </w:r>
            <w:r>
              <w:rPr>
                <w:rFonts w:ascii="宋体" w:cs="宋体" w:eastAsia="宋体" w:hAnsi="宋体" w:hint="eastAsia"/>
                <w:color w:val="000000"/>
                <w:sz w:val="18"/>
                <w:szCs w:val="18"/>
                <w:lang w:eastAsia="zh-CN"/>
              </w:rPr>
              <w:t>岗位实习</w:t>
            </w:r>
            <w:r>
              <w:rPr>
                <w:rFonts w:ascii="宋体" w:cs="宋体" w:eastAsia="宋体" w:hAnsi="宋体" w:hint="eastAsia"/>
                <w:color w:val="000000"/>
                <w:sz w:val="18"/>
                <w:szCs w:val="18"/>
              </w:rPr>
              <w:t>动员会等</w:t>
            </w:r>
          </w:p>
        </w:tc>
        <w:tc>
          <w:tcPr>
            <w:tcW w:w="1005" w:type="dxa"/>
            <w:tcBorders/>
            <w:vAlign w:val="center"/>
          </w:tcPr>
          <w:p>
            <w:pPr>
              <w:pStyle w:val="style0"/>
              <w:jc w:val="center"/>
              <w:rPr>
                <w:rFonts w:ascii="宋体" w:cs="宋体" w:eastAsia="宋体" w:hAnsi="宋体"/>
                <w:color w:val="000000"/>
                <w:sz w:val="18"/>
                <w:szCs w:val="18"/>
              </w:rPr>
            </w:pPr>
            <w:r>
              <w:rPr>
                <w:rFonts w:ascii="宋体" w:cs="宋体" w:eastAsia="宋体" w:hAnsi="宋体" w:hint="eastAsia"/>
                <w:color w:val="000000"/>
                <w:sz w:val="18"/>
                <w:szCs w:val="18"/>
              </w:rPr>
              <w:t>教务处、就业处、信息工程系</w:t>
            </w:r>
          </w:p>
        </w:tc>
      </w:tr>
    </w:tbl>
    <w:p>
      <w:pPr>
        <w:pStyle w:val="style4103"/>
        <w:rPr>
          <w:rFonts w:ascii="Times New Roman" w:eastAsia="宋体" w:hAnsi="Times New Roman"/>
          <w:bCs/>
        </w:rPr>
      </w:pPr>
      <w:r>
        <w:rPr>
          <w:rFonts w:ascii="Times New Roman" w:eastAsia="宋体" w:hAnsi="Times New Roman" w:hint="eastAsia"/>
          <w:bCs/>
        </w:rPr>
        <w:t>（二）制度保障</w:t>
      </w:r>
    </w:p>
    <w:p>
      <w:pPr>
        <w:pStyle w:val="style0"/>
        <w:snapToGrid w:val="false"/>
        <w:spacing w:lineRule="exact" w:line="380"/>
        <w:rPr>
          <w:rFonts w:ascii="Times New Roman" w:eastAsia="宋体" w:hAnsi="Times New Roman"/>
          <w:szCs w:val="21"/>
        </w:rPr>
      </w:pPr>
      <w:r>
        <w:rPr>
          <w:rFonts w:ascii="Times New Roman" w:eastAsia="宋体" w:hAnsi="Times New Roman" w:hint="eastAsia"/>
          <w:szCs w:val="21"/>
        </w:rPr>
        <w:t xml:space="preserve">    为保障专业人才培养方案的运行实施，学校建立有完整的教学质量监控体系。</w:t>
      </w:r>
    </w:p>
    <w:p>
      <w:pPr>
        <w:pStyle w:val="style0"/>
        <w:snapToGrid w:val="false"/>
        <w:spacing w:lineRule="exact" w:line="380"/>
        <w:jc w:val="center"/>
        <w:rPr>
          <w:rFonts w:ascii="Times New Roman" w:eastAsia="宋体" w:hAnsi="Times New Roman"/>
          <w:szCs w:val="21"/>
        </w:rPr>
      </w:pPr>
      <w:r>
        <w:rPr>
          <w:rFonts w:ascii="Times New Roman" w:eastAsia="宋体" w:hAnsi="Times New Roman" w:hint="eastAsia"/>
          <w:b/>
          <w:szCs w:val="21"/>
        </w:rPr>
        <w:t xml:space="preserve"> 方案实施保障制度一览表</w:t>
      </w:r>
    </w:p>
    <w:tbl>
      <w:tblPr>
        <w:tblStyle w:val="style105"/>
        <w:tblW w:w="88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440"/>
        <w:gridCol w:w="7410"/>
      </w:tblGrid>
      <w:tr>
        <w:trPr>
          <w:trHeight w:val="567" w:hRule="atLeast"/>
          <w:jc w:val="center"/>
        </w:trPr>
        <w:tc>
          <w:tcPr>
            <w:tcW w:w="1440" w:type="dxa"/>
            <w:tcBorders>
              <w:bottom w:val="double" w:sz="4" w:space="0" w:color="auto"/>
              <w:right w:val="single" w:sz="4" w:space="0" w:color="auto"/>
            </w:tcBorders>
            <w:shd w:val="clear" w:color="auto" w:fill="ffffff"/>
            <w:vAlign w:val="center"/>
          </w:tcPr>
          <w:p>
            <w:pPr>
              <w:pStyle w:val="style0"/>
              <w:tabs>
                <w:tab w:val="left" w:leader="none" w:pos="900"/>
              </w:tabs>
              <w:snapToGrid w:val="false"/>
              <w:jc w:val="center"/>
              <w:rPr>
                <w:rFonts w:ascii="Times New Roman" w:eastAsia="宋体" w:hAnsi="Times New Roman"/>
                <w:b/>
                <w:bCs/>
                <w:sz w:val="18"/>
                <w:szCs w:val="18"/>
              </w:rPr>
            </w:pPr>
            <w:r>
              <w:rPr>
                <w:rFonts w:ascii="Times New Roman" w:eastAsia="宋体" w:hAnsi="Times New Roman" w:hint="eastAsia"/>
                <w:b/>
                <w:bCs/>
                <w:sz w:val="18"/>
                <w:szCs w:val="18"/>
              </w:rPr>
              <w:t>实施内容</w:t>
            </w:r>
          </w:p>
        </w:tc>
        <w:tc>
          <w:tcPr>
            <w:tcW w:w="7410" w:type="dxa"/>
            <w:tcBorders>
              <w:left w:val="single" w:sz="4" w:space="0" w:color="auto"/>
              <w:right w:val="double" w:sz="4" w:space="0" w:color="auto"/>
            </w:tcBorders>
            <w:shd w:val="clear" w:color="auto" w:fill="ffffff"/>
            <w:vAlign w:val="center"/>
          </w:tcPr>
          <w:p>
            <w:pPr>
              <w:pStyle w:val="style0"/>
              <w:tabs>
                <w:tab w:val="left" w:leader="none" w:pos="900"/>
              </w:tabs>
              <w:snapToGrid w:val="false"/>
              <w:jc w:val="center"/>
              <w:rPr>
                <w:rFonts w:ascii="Times New Roman" w:eastAsia="宋体" w:hAnsi="Times New Roman"/>
                <w:b/>
                <w:bCs/>
                <w:sz w:val="18"/>
                <w:szCs w:val="18"/>
              </w:rPr>
            </w:pPr>
            <w:r>
              <w:rPr>
                <w:rFonts w:ascii="Times New Roman" w:eastAsia="宋体" w:hAnsi="Times New Roman" w:hint="eastAsia"/>
                <w:b/>
                <w:bCs/>
                <w:sz w:val="18"/>
                <w:szCs w:val="18"/>
              </w:rPr>
              <w:t>制度保障</w:t>
            </w:r>
          </w:p>
        </w:tc>
      </w:tr>
      <w:tr>
        <w:tblPrEx/>
        <w:trPr>
          <w:trHeight w:val="607" w:hRule="atLeast"/>
          <w:jc w:val="center"/>
        </w:trPr>
        <w:tc>
          <w:tcPr>
            <w:tcW w:w="1440" w:type="dxa"/>
            <w:tcBorders>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校企合作</w:t>
            </w:r>
          </w:p>
        </w:tc>
        <w:tc>
          <w:tcPr>
            <w:tcW w:w="7410" w:type="dxa"/>
            <w:tcBorders>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cs="宋体" w:eastAsia="宋体" w:hAnsi="Times New Roman" w:hint="eastAsia"/>
                <w:bCs/>
                <w:sz w:val="18"/>
                <w:szCs w:val="18"/>
              </w:rPr>
              <w:t>校企</w:t>
            </w:r>
            <w:r>
              <w:rPr/>
              <w:fldChar w:fldCharType="begin"/>
            </w:r>
            <w:r>
              <w:instrText xml:space="preserve"> HYPERLINK \l "_Toc28691" </w:instrText>
            </w:r>
            <w:r>
              <w:rPr/>
              <w:fldChar w:fldCharType="separate"/>
            </w:r>
            <w:r>
              <w:rPr>
                <w:rFonts w:ascii="Times New Roman" w:cs="宋体" w:eastAsia="宋体" w:hAnsi="Times New Roman" w:hint="eastAsia"/>
                <w:bCs/>
                <w:sz w:val="18"/>
                <w:szCs w:val="18"/>
              </w:rPr>
              <w:t>合作管理办法，</w:t>
            </w:r>
            <w:r>
              <w:rPr>
                <w:rFonts w:ascii="Times New Roman" w:cs="宋体" w:eastAsia="宋体" w:hAnsi="Times New Roman" w:hint="eastAsia"/>
                <w:bCs/>
                <w:sz w:val="18"/>
                <w:szCs w:val="18"/>
              </w:rPr>
              <w:fldChar w:fldCharType="end"/>
            </w:r>
            <w:r>
              <w:rPr>
                <w:rFonts w:ascii="Times New Roman" w:eastAsia="宋体" w:hAnsi="Times New Roman" w:hint="eastAsia"/>
                <w:sz w:val="18"/>
                <w:szCs w:val="18"/>
              </w:rPr>
              <w:t>校外教学实习基地建设与管理规定，规范就业、校企合作、岗位实习的有关规定等</w:t>
            </w:r>
          </w:p>
        </w:tc>
      </w:tr>
      <w:tr>
        <w:tblPrEx/>
        <w:trPr>
          <w:trHeight w:val="397"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专业建设</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学院专业设置实施细则，专业指导委员会工作条例等</w:t>
            </w:r>
          </w:p>
        </w:tc>
      </w:tr>
      <w:tr>
        <w:tblPrEx/>
        <w:trPr>
          <w:trHeight w:val="460"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课程建设</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精品在线开放课程建设与应用管理办法等</w:t>
            </w:r>
          </w:p>
        </w:tc>
      </w:tr>
      <w:tr>
        <w:tblPrEx/>
        <w:trPr>
          <w:trHeight w:val="705"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师资建设</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kern w:val="36"/>
                <w:sz w:val="18"/>
                <w:szCs w:val="18"/>
              </w:rPr>
              <w:t>关于全面深化新时代教师队伍建设改革的实施方案，关于新聘教师教学业务培训的管理办法，教师岗位职责与工作行为规范，</w:t>
            </w:r>
            <w:r>
              <w:rPr>
                <w:rFonts w:ascii="Times New Roman" w:eastAsia="宋体" w:hAnsi="Times New Roman" w:hint="eastAsia"/>
                <w:kern w:val="0"/>
                <w:sz w:val="18"/>
                <w:szCs w:val="18"/>
              </w:rPr>
              <w:t>教师教学评价考核办法，</w:t>
            </w:r>
            <w:r>
              <w:rPr>
                <w:rFonts w:ascii="Times New Roman" w:eastAsia="宋体" w:hAnsi="Times New Roman" w:hint="eastAsia"/>
                <w:sz w:val="18"/>
                <w:szCs w:val="18"/>
              </w:rPr>
              <w:t>教师师德师风考核办法，优秀教师评选办法，骨干教师、专业带头人选聘管理办法，</w:t>
            </w:r>
            <w:r>
              <w:rPr>
                <w:rFonts w:ascii="Times New Roman" w:eastAsia="宋体" w:hAnsi="Times New Roman" w:hint="eastAsia"/>
                <w:kern w:val="0"/>
                <w:sz w:val="18"/>
                <w:szCs w:val="18"/>
              </w:rPr>
              <w:t>兼职教师聘用及管理办法，专业教师赴企业锻炼管理办法，教师工作室管理办法等</w:t>
            </w:r>
          </w:p>
        </w:tc>
      </w:tr>
      <w:tr>
        <w:tblPrEx/>
        <w:trPr>
          <w:trHeight w:val="445"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教材建设</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教材管理实施细则</w:t>
            </w:r>
          </w:p>
        </w:tc>
      </w:tr>
      <w:tr>
        <w:tblPrEx/>
        <w:trPr>
          <w:trHeight w:val="465"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教学组织</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教师教学评价考核办法，教学任务安排管理办法，课堂教学管理规定，课程教学质量考核办法，教学督导工作条例，教学事故认定与处理办法等</w:t>
            </w:r>
          </w:p>
        </w:tc>
      </w:tr>
      <w:tr>
        <w:tblPrEx/>
        <w:trPr>
          <w:trHeight w:val="443" w:hRule="atLeast"/>
          <w:jc w:val="center"/>
        </w:trPr>
        <w:tc>
          <w:tcPr>
            <w:tcW w:w="1440" w:type="dxa"/>
            <w:tcBorders>
              <w:top w:val="single" w:sz="4" w:space="0" w:color="auto"/>
              <w:bottom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实习实训</w:t>
            </w:r>
          </w:p>
        </w:tc>
        <w:tc>
          <w:tcPr>
            <w:tcW w:w="7410" w:type="dxa"/>
            <w:tcBorders>
              <w:top w:val="single" w:sz="4" w:space="0" w:color="auto"/>
              <w:left w:val="single" w:sz="4" w:space="0" w:color="auto"/>
              <w:bottom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学生实习管理规定；岗位实习就业工作管理实施办法；校外实训基地建设管理办法，实训场所建设指导性意见等</w:t>
            </w:r>
          </w:p>
        </w:tc>
      </w:tr>
      <w:tr>
        <w:tblPrEx/>
        <w:trPr>
          <w:trHeight w:val="307" w:hRule="atLeast"/>
          <w:jc w:val="center"/>
        </w:trPr>
        <w:tc>
          <w:tcPr>
            <w:tcW w:w="1440" w:type="dxa"/>
            <w:tcBorders>
              <w:top w:val="single" w:sz="4" w:space="0" w:color="auto"/>
              <w:right w:val="single" w:sz="4" w:space="0" w:color="auto"/>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学生管理</w:t>
            </w:r>
          </w:p>
        </w:tc>
        <w:tc>
          <w:tcPr>
            <w:tcW w:w="7410" w:type="dxa"/>
            <w:tcBorders>
              <w:top w:val="single" w:sz="4" w:space="0" w:color="auto"/>
              <w:left w:val="single" w:sz="4" w:space="0" w:color="auto"/>
              <w:right w:val="double" w:sz="4" w:space="0" w:color="auto"/>
            </w:tcBorders>
            <w:vAlign w:val="center"/>
          </w:tcPr>
          <w:p>
            <w:pPr>
              <w:pStyle w:val="style0"/>
              <w:tabs>
                <w:tab w:val="left" w:leader="none" w:pos="900"/>
              </w:tabs>
              <w:snapToGrid w:val="false"/>
              <w:rPr>
                <w:rFonts w:ascii="Times New Roman" w:eastAsia="宋体" w:hAnsi="Times New Roman"/>
                <w:sz w:val="18"/>
                <w:szCs w:val="18"/>
              </w:rPr>
            </w:pPr>
            <w:r>
              <w:rPr>
                <w:rFonts w:ascii="Times New Roman" w:eastAsia="宋体" w:hAnsi="Times New Roman" w:hint="eastAsia"/>
                <w:sz w:val="18"/>
                <w:szCs w:val="18"/>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bookmarkStart w:id="13" w:name="_Toc327706751"/>
    </w:tbl>
    <w:p>
      <w:pPr>
        <w:pStyle w:val="style0"/>
        <w:snapToGrid w:val="false"/>
        <w:spacing w:lineRule="exact" w:line="380"/>
        <w:ind w:firstLine="482" w:firstLineChars="200"/>
        <w:outlineLvl w:val="0"/>
        <w:rPr>
          <w:rFonts w:ascii="Times New Roman" w:eastAsia="宋体" w:hAnsi="Times New Roman"/>
          <w:b/>
          <w:sz w:val="24"/>
        </w:rPr>
      </w:pPr>
      <w:r>
        <w:rPr>
          <w:rFonts w:ascii="Times New Roman" w:eastAsia="宋体" w:hAnsi="Times New Roman" w:hint="eastAsia"/>
          <w:b/>
          <w:sz w:val="24"/>
        </w:rPr>
        <w:t>十、毕业条件</w:t>
      </w:r>
      <w:bookmarkEnd w:id="13"/>
    </w:p>
    <w:p>
      <w:pPr>
        <w:pStyle w:val="style0"/>
        <w:snapToGrid w:val="false"/>
        <w:spacing w:lineRule="exact" w:line="380"/>
        <w:ind w:firstLine="420" w:firstLineChars="200"/>
        <w:rPr>
          <w:rFonts w:ascii="Times New Roman" w:eastAsia="宋体" w:hAnsi="Times New Roman"/>
          <w:b/>
          <w:sz w:val="24"/>
        </w:rPr>
      </w:pPr>
      <w:r>
        <w:rPr>
          <w:rFonts w:ascii="宋体" w:eastAsia="宋体" w:hAnsi="宋体" w:hint="eastAsia"/>
          <w:szCs w:val="21"/>
        </w:rPr>
        <w:t>学生必须修满</w:t>
      </w:r>
      <w:r>
        <w:rPr>
          <w:rFonts w:ascii="宋体" w:eastAsia="宋体" w:hAnsi="宋体"/>
          <w:szCs w:val="21"/>
        </w:rPr>
        <w:t>16</w:t>
      </w:r>
      <w:r>
        <w:rPr>
          <w:rFonts w:ascii="宋体" w:eastAsia="宋体" w:hAnsi="宋体" w:hint="eastAsia"/>
          <w:szCs w:val="21"/>
        </w:rPr>
        <w:t>2</w:t>
      </w:r>
      <w:r>
        <w:rPr>
          <w:rFonts w:ascii="宋体" w:eastAsia="宋体" w:hAnsi="宋体"/>
          <w:szCs w:val="21"/>
        </w:rPr>
        <w:t>.5</w:t>
      </w:r>
      <w:r>
        <w:rPr>
          <w:rFonts w:ascii="宋体" w:eastAsia="宋体" w:hAnsi="宋体" w:hint="eastAsia"/>
          <w:szCs w:val="21"/>
        </w:rPr>
        <w:t>学分，所有课程全部考核合格，</w:t>
      </w:r>
      <w:r>
        <w:rPr>
          <w:rFonts w:ascii="Times New Roman" w:eastAsia="宋体" w:hAnsi="Times New Roman" w:hint="eastAsia"/>
          <w:szCs w:val="21"/>
        </w:rPr>
        <w:t>参加不少于13周岗位实习，并成绩合格。</w:t>
      </w:r>
      <w:bookmarkStart w:id="14" w:name="_Toc327706756"/>
    </w:p>
    <w:p>
      <w:pPr>
        <w:pStyle w:val="style0"/>
        <w:snapToGrid w:val="false"/>
        <w:spacing w:lineRule="exact" w:line="380"/>
        <w:ind w:firstLine="482" w:firstLineChars="200"/>
        <w:outlineLvl w:val="0"/>
        <w:rPr>
          <w:rFonts w:ascii="Times New Roman" w:eastAsia="宋体" w:hAnsi="Times New Roman"/>
          <w:b/>
          <w:szCs w:val="21"/>
        </w:rPr>
      </w:pPr>
      <w:r>
        <w:rPr>
          <w:rFonts w:ascii="Times New Roman" w:eastAsia="宋体" w:hAnsi="Times New Roman" w:hint="eastAsia"/>
          <w:b/>
          <w:sz w:val="24"/>
        </w:rPr>
        <w:t>十一、专业教学指导委员会成员表</w:t>
      </w:r>
      <w:bookmarkEnd w:id="14"/>
    </w:p>
    <w:p>
      <w:pPr>
        <w:pStyle w:val="style0"/>
        <w:snapToGrid w:val="false"/>
        <w:jc w:val="center"/>
        <w:rPr>
          <w:rFonts w:ascii="Times New Roman" w:eastAsia="宋体" w:hAnsi="Times New Roman"/>
          <w:szCs w:val="21"/>
        </w:rPr>
      </w:pPr>
      <w:r>
        <w:rPr>
          <w:rFonts w:ascii="Times New Roman" w:eastAsia="宋体" w:hAnsi="Times New Roman" w:hint="eastAsia"/>
          <w:b/>
          <w:szCs w:val="21"/>
        </w:rPr>
        <w:t>专业教学指导委员会成员一览表</w:t>
      </w:r>
    </w:p>
    <w:tbl>
      <w:tblPr>
        <w:tblStyle w:val="style105"/>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1"/>
        <w:gridCol w:w="821"/>
        <w:gridCol w:w="2441"/>
        <w:gridCol w:w="904"/>
        <w:gridCol w:w="904"/>
        <w:gridCol w:w="904"/>
        <w:gridCol w:w="1544"/>
        <w:gridCol w:w="1135"/>
      </w:tblGrid>
      <w:tr>
        <w:trPr>
          <w:trHeight w:val="315" w:hRule="atLeast"/>
          <w:jc w:val="center"/>
        </w:trPr>
        <w:tc>
          <w:tcPr>
            <w:tcW w:w="441"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序号</w:t>
            </w:r>
          </w:p>
        </w:tc>
        <w:tc>
          <w:tcPr>
            <w:tcW w:w="821"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姓名</w:t>
            </w:r>
          </w:p>
        </w:tc>
        <w:tc>
          <w:tcPr>
            <w:tcW w:w="2441"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单位</w:t>
            </w:r>
          </w:p>
        </w:tc>
        <w:tc>
          <w:tcPr>
            <w:tcW w:w="904"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职称</w:t>
            </w:r>
          </w:p>
        </w:tc>
        <w:tc>
          <w:tcPr>
            <w:tcW w:w="904"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职务</w:t>
            </w:r>
          </w:p>
        </w:tc>
        <w:tc>
          <w:tcPr>
            <w:tcW w:w="904" w:type="dxa"/>
            <w:vMerge w:val="restart"/>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委员会</w:t>
            </w:r>
          </w:p>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职务</w:t>
            </w:r>
          </w:p>
        </w:tc>
        <w:tc>
          <w:tcPr>
            <w:tcW w:w="2679" w:type="dxa"/>
            <w:gridSpan w:val="2"/>
            <w:tcBorders>
              <w:bottom w:val="single" w:sz="4" w:space="0" w:color="auto"/>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联系方式</w:t>
            </w:r>
          </w:p>
        </w:tc>
      </w:tr>
      <w:tr>
        <w:tblPrEx/>
        <w:trPr>
          <w:trHeight w:val="315" w:hRule="atLeast"/>
          <w:jc w:val="center"/>
        </w:trPr>
        <w:tc>
          <w:tcPr>
            <w:tcW w:w="441"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821"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2441"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904"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904"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904" w:type="dxa"/>
            <w:vMerge w:val="continue"/>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p>
        </w:tc>
        <w:tc>
          <w:tcPr>
            <w:tcW w:w="1544" w:type="dxa"/>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电子邮件</w:t>
            </w:r>
          </w:p>
        </w:tc>
        <w:tc>
          <w:tcPr>
            <w:tcW w:w="1135" w:type="dxa"/>
            <w:tcBorders/>
            <w:shd w:val="clear" w:color="auto" w:fill="ffffff"/>
            <w:vAlign w:val="center"/>
          </w:tcPr>
          <w:p>
            <w:pPr>
              <w:pStyle w:val="style0"/>
              <w:tabs>
                <w:tab w:val="left" w:leader="none" w:pos="900"/>
              </w:tabs>
              <w:snapToGrid w:val="false"/>
              <w:spacing w:lineRule="exact" w:line="360"/>
              <w:jc w:val="center"/>
              <w:rPr>
                <w:rFonts w:ascii="Times New Roman" w:eastAsia="宋体" w:hAnsi="Times New Roman"/>
                <w:b/>
                <w:bCs/>
                <w:sz w:val="18"/>
                <w:szCs w:val="18"/>
              </w:rPr>
            </w:pPr>
            <w:r>
              <w:rPr>
                <w:rFonts w:ascii="Times New Roman" w:eastAsia="宋体" w:hAnsi="Times New Roman" w:hint="eastAsia"/>
                <w:b/>
                <w:bCs/>
                <w:sz w:val="18"/>
                <w:szCs w:val="18"/>
              </w:rPr>
              <w:t>联系电话</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1</w:t>
            </w:r>
          </w:p>
        </w:tc>
        <w:tc>
          <w:tcPr>
            <w:tcW w:w="82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夏昕</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副教授、工程师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系主任</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主任</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66630777</w:t>
            </w:r>
            <w:r>
              <w:rPr>
                <w:rFonts w:ascii="宋体" w:cs="Times New Roman" w:eastAsia="宋体" w:hAnsi="宋体" w:hint="eastAsia"/>
                <w:bCs/>
                <w:sz w:val="18"/>
                <w:szCs w:val="18"/>
              </w:rPr>
              <w:t>@qq.com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18170898308</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2</w:t>
            </w:r>
          </w:p>
        </w:tc>
        <w:tc>
          <w:tcPr>
            <w:tcW w:w="82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熊浩</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副教授、工程师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系副主任</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副主任</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37185639</w:t>
            </w:r>
            <w:r>
              <w:rPr>
                <w:rFonts w:ascii="宋体" w:cs="Times New Roman" w:eastAsia="宋体" w:hAnsi="宋体" w:hint="eastAsia"/>
                <w:bCs/>
                <w:sz w:val="18"/>
                <w:szCs w:val="18"/>
              </w:rPr>
              <w:t>@qq.com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13767129618</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3</w:t>
            </w:r>
          </w:p>
        </w:tc>
        <w:tc>
          <w:tcPr>
            <w:tcW w:w="82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周斯昱</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讲师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教研室主任</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委员</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364747887</w:t>
            </w:r>
            <w:r>
              <w:rPr>
                <w:rFonts w:ascii="宋体" w:cs="Times New Roman" w:eastAsia="宋体" w:hAnsi="宋体" w:hint="eastAsia"/>
                <w:bCs/>
                <w:sz w:val="18"/>
                <w:szCs w:val="18"/>
              </w:rPr>
              <w:t>@qq.com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18170979770</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4</w:t>
            </w:r>
          </w:p>
        </w:tc>
        <w:tc>
          <w:tcPr>
            <w:tcW w:w="82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罗成</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副教授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教师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委员</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457960227</w:t>
            </w:r>
            <w:r>
              <w:rPr>
                <w:rFonts w:ascii="宋体" w:cs="Times New Roman" w:eastAsia="宋体" w:hAnsi="宋体" w:hint="eastAsia"/>
                <w:bCs/>
                <w:sz w:val="18"/>
                <w:szCs w:val="18"/>
              </w:rPr>
              <w:t>@qq.com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13870994399</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5</w:t>
            </w:r>
          </w:p>
        </w:tc>
        <w:tc>
          <w:tcPr>
            <w:tcW w:w="821" w:type="dxa"/>
            <w:tcBorders/>
            <w:vAlign w:val="center"/>
          </w:tcPr>
          <w:p>
            <w:pPr>
              <w:pStyle w:val="style0"/>
              <w:jc w:val="center"/>
              <w:rPr>
                <w:rFonts w:ascii="Times New Roman" w:eastAsia="宋体" w:hAnsi="Times New Roman"/>
                <w:sz w:val="18"/>
                <w:szCs w:val="18"/>
              </w:rPr>
            </w:pPr>
            <w:r>
              <w:rPr>
                <w:rFonts w:ascii="Times New Roman" w:eastAsia="宋体" w:hAnsi="Times New Roman" w:hint="eastAsia"/>
                <w:sz w:val="18"/>
                <w:szCs w:val="18"/>
              </w:rPr>
              <w:t>刘珍</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副教授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教师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委员</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329229257@qq.com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13870869028</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Times New Roman" w:eastAsia="宋体" w:hAnsi="Times New Roman" w:hint="eastAsia"/>
                <w:sz w:val="18"/>
                <w:szCs w:val="18"/>
              </w:rPr>
              <w:t>6</w:t>
            </w:r>
          </w:p>
        </w:tc>
        <w:tc>
          <w:tcPr>
            <w:tcW w:w="821" w:type="dxa"/>
            <w:tcBorders/>
            <w:vAlign w:val="center"/>
          </w:tcPr>
          <w:p>
            <w:pPr>
              <w:pStyle w:val="style0"/>
              <w:jc w:val="center"/>
              <w:rPr>
                <w:rFonts w:ascii="Times New Roman" w:eastAsia="宋体" w:hAnsi="Times New Roman"/>
                <w:sz w:val="18"/>
                <w:szCs w:val="18"/>
              </w:rPr>
            </w:pPr>
            <w:r>
              <w:rPr>
                <w:rFonts w:ascii="Times New Roman" w:eastAsia="宋体" w:hAnsi="Times New Roman" w:hint="eastAsia"/>
                <w:sz w:val="18"/>
                <w:szCs w:val="18"/>
              </w:rPr>
              <w:t>罗婷</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Times New Roman" w:eastAsia="宋体" w:hAnsi="Times New Roman" w:hint="eastAsia"/>
                <w:sz w:val="18"/>
                <w:szCs w:val="18"/>
              </w:rPr>
              <w:t>讲师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教师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委员</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46740074@qq.com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13576099074</w:t>
            </w:r>
          </w:p>
        </w:tc>
      </w:tr>
      <w:tr>
        <w:tblPrEx/>
        <w:trPr>
          <w:trHeight w:val="495" w:hRule="atLeast"/>
          <w:jc w:val="center"/>
        </w:trPr>
        <w:tc>
          <w:tcPr>
            <w:tcW w:w="441" w:type="dxa"/>
            <w:tcBorders/>
            <w:vAlign w:val="center"/>
          </w:tcPr>
          <w:p>
            <w:pPr>
              <w:pStyle w:val="style0"/>
              <w:jc w:val="center"/>
              <w:rPr>
                <w:rFonts w:ascii="Times New Roman" w:eastAsia="宋体" w:hAnsi="Times New Roman"/>
                <w:sz w:val="18"/>
                <w:szCs w:val="18"/>
              </w:rPr>
            </w:pPr>
            <w:r>
              <w:rPr>
                <w:rFonts w:ascii="Times New Roman" w:eastAsia="宋体" w:hAnsi="Times New Roman" w:hint="eastAsia"/>
                <w:sz w:val="18"/>
                <w:szCs w:val="18"/>
              </w:rPr>
              <w:t>7</w:t>
            </w:r>
          </w:p>
        </w:tc>
        <w:tc>
          <w:tcPr>
            <w:tcW w:w="821" w:type="dxa"/>
            <w:tcBorders/>
            <w:vAlign w:val="center"/>
          </w:tcPr>
          <w:p>
            <w:pPr>
              <w:pStyle w:val="style0"/>
              <w:jc w:val="center"/>
              <w:rPr>
                <w:rFonts w:ascii="Times New Roman" w:eastAsia="宋体" w:hAnsi="Times New Roman"/>
                <w:sz w:val="18"/>
                <w:szCs w:val="18"/>
              </w:rPr>
            </w:pPr>
            <w:r>
              <w:rPr>
                <w:rFonts w:ascii="宋体" w:eastAsia="宋体" w:hAnsi="宋体" w:hint="eastAsia"/>
                <w:sz w:val="18"/>
                <w:szCs w:val="18"/>
              </w:rPr>
              <w:t>饶瑞芳</w:t>
            </w:r>
          </w:p>
        </w:tc>
        <w:tc>
          <w:tcPr>
            <w:tcW w:w="2441"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江西工业贸易职业技术学院</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助教</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教师</w:t>
            </w:r>
          </w:p>
        </w:tc>
        <w:tc>
          <w:tcPr>
            <w:tcW w:w="90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hint="eastAsia"/>
                <w:bCs/>
                <w:sz w:val="18"/>
                <w:szCs w:val="18"/>
              </w:rPr>
              <w:t>委员</w:t>
            </w:r>
          </w:p>
        </w:tc>
        <w:tc>
          <w:tcPr>
            <w:tcW w:w="1544"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1074743795</w:t>
            </w:r>
            <w:r>
              <w:rPr>
                <w:rFonts w:ascii="宋体" w:cs="Times New Roman" w:eastAsia="宋体" w:hAnsi="宋体" w:hint="eastAsia"/>
                <w:bCs/>
                <w:sz w:val="18"/>
                <w:szCs w:val="18"/>
              </w:rPr>
              <w:t>@qq.com</w:t>
            </w:r>
          </w:p>
        </w:tc>
        <w:tc>
          <w:tcPr>
            <w:tcW w:w="1135" w:type="dxa"/>
            <w:tcBorders/>
            <w:vAlign w:val="center"/>
          </w:tcPr>
          <w:p>
            <w:pPr>
              <w:pStyle w:val="style0"/>
              <w:tabs>
                <w:tab w:val="left" w:leader="none" w:pos="900"/>
              </w:tabs>
              <w:snapToGrid w:val="false"/>
              <w:jc w:val="center"/>
              <w:rPr>
                <w:rFonts w:ascii="Times New Roman" w:eastAsia="宋体" w:hAnsi="Times New Roman"/>
                <w:sz w:val="18"/>
                <w:szCs w:val="18"/>
              </w:rPr>
            </w:pPr>
            <w:r>
              <w:rPr>
                <w:rFonts w:ascii="宋体" w:cs="Times New Roman" w:eastAsia="宋体" w:hAnsi="宋体"/>
                <w:bCs/>
                <w:sz w:val="18"/>
                <w:szCs w:val="18"/>
              </w:rPr>
              <w:t>15717911690</w:t>
            </w:r>
          </w:p>
        </w:tc>
      </w:tr>
    </w:tbl>
    <w:p>
      <w:pPr>
        <w:pStyle w:val="style0"/>
        <w:rPr>
          <w:rFonts w:ascii="Times New Roman" w:eastAsia="宋体" w:hAnsi="Times New Roman"/>
        </w:rPr>
      </w:pPr>
    </w:p>
    <w:tbl>
      <w:tblPr>
        <w:tblStyle w:val="style105"/>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69"/>
        <w:gridCol w:w="2539"/>
        <w:gridCol w:w="2342"/>
        <w:gridCol w:w="2292"/>
      </w:tblGrid>
      <w:tr>
        <w:trPr>
          <w:trHeight w:val="510" w:hRule="exact"/>
          <w:jc w:val="center"/>
        </w:trPr>
        <w:tc>
          <w:tcPr>
            <w:tcW w:w="2069"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执笔人签名：</w:t>
            </w:r>
          </w:p>
        </w:tc>
        <w:tc>
          <w:tcPr>
            <w:tcW w:w="2539" w:type="dxa"/>
            <w:tcBorders/>
            <w:vAlign w:val="center"/>
          </w:tcPr>
          <w:p>
            <w:pPr>
              <w:pStyle w:val="style0"/>
              <w:spacing w:lineRule="auto" w:line="480"/>
              <w:rPr>
                <w:rFonts w:ascii="Times New Roman" w:eastAsia="宋体" w:hAnsi="Times New Roman"/>
                <w:sz w:val="18"/>
                <w:szCs w:val="18"/>
              </w:rPr>
            </w:pPr>
          </w:p>
        </w:tc>
        <w:tc>
          <w:tcPr>
            <w:tcW w:w="2342"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系主任审核：</w:t>
            </w:r>
          </w:p>
        </w:tc>
        <w:tc>
          <w:tcPr>
            <w:tcW w:w="2292" w:type="dxa"/>
            <w:tcBorders/>
            <w:vAlign w:val="center"/>
          </w:tcPr>
          <w:p>
            <w:pPr>
              <w:pStyle w:val="style0"/>
              <w:spacing w:lineRule="auto" w:line="480"/>
              <w:rPr>
                <w:rFonts w:ascii="Times New Roman" w:eastAsia="宋体" w:hAnsi="Times New Roman"/>
                <w:sz w:val="18"/>
                <w:szCs w:val="18"/>
              </w:rPr>
            </w:pPr>
          </w:p>
        </w:tc>
      </w:tr>
      <w:tr>
        <w:tblPrEx/>
        <w:trPr>
          <w:trHeight w:val="510" w:hRule="exact"/>
          <w:jc w:val="center"/>
        </w:trPr>
        <w:tc>
          <w:tcPr>
            <w:tcW w:w="2069"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参与人员签名：</w:t>
            </w:r>
          </w:p>
        </w:tc>
        <w:tc>
          <w:tcPr>
            <w:tcW w:w="2539" w:type="dxa"/>
            <w:tcBorders/>
            <w:vAlign w:val="center"/>
          </w:tcPr>
          <w:p>
            <w:pPr>
              <w:pStyle w:val="style0"/>
              <w:spacing w:lineRule="auto" w:line="480"/>
              <w:rPr>
                <w:rFonts w:ascii="Times New Roman" w:eastAsia="宋体" w:hAnsi="Times New Roman"/>
                <w:sz w:val="18"/>
                <w:szCs w:val="18"/>
              </w:rPr>
            </w:pPr>
          </w:p>
        </w:tc>
        <w:tc>
          <w:tcPr>
            <w:tcW w:w="2342"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教学管理部门审核：</w:t>
            </w:r>
          </w:p>
        </w:tc>
        <w:tc>
          <w:tcPr>
            <w:tcW w:w="2292" w:type="dxa"/>
            <w:tcBorders/>
            <w:vAlign w:val="center"/>
          </w:tcPr>
          <w:p>
            <w:pPr>
              <w:pStyle w:val="style0"/>
              <w:spacing w:lineRule="auto" w:line="480"/>
              <w:rPr>
                <w:rFonts w:ascii="Times New Roman" w:eastAsia="宋体" w:hAnsi="Times New Roman"/>
                <w:sz w:val="18"/>
                <w:szCs w:val="18"/>
              </w:rPr>
            </w:pPr>
          </w:p>
        </w:tc>
      </w:tr>
      <w:tr>
        <w:tblPrEx/>
        <w:trPr>
          <w:trHeight w:val="510" w:hRule="exact"/>
          <w:jc w:val="center"/>
        </w:trPr>
        <w:tc>
          <w:tcPr>
            <w:tcW w:w="2069"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专业负责人审核：</w:t>
            </w:r>
          </w:p>
        </w:tc>
        <w:tc>
          <w:tcPr>
            <w:tcW w:w="2539" w:type="dxa"/>
            <w:tcBorders/>
            <w:vAlign w:val="center"/>
          </w:tcPr>
          <w:p>
            <w:pPr>
              <w:pStyle w:val="style0"/>
              <w:spacing w:lineRule="auto" w:line="480"/>
              <w:rPr>
                <w:rFonts w:ascii="Times New Roman" w:eastAsia="宋体" w:hAnsi="Times New Roman"/>
                <w:sz w:val="18"/>
                <w:szCs w:val="18"/>
              </w:rPr>
            </w:pPr>
          </w:p>
        </w:tc>
        <w:tc>
          <w:tcPr>
            <w:tcW w:w="2342" w:type="dxa"/>
            <w:tcBorders/>
            <w:vAlign w:val="center"/>
          </w:tcPr>
          <w:p>
            <w:pPr>
              <w:pStyle w:val="style0"/>
              <w:spacing w:lineRule="auto" w:line="480"/>
              <w:rPr>
                <w:rFonts w:ascii="Times New Roman" w:eastAsia="宋体" w:hAnsi="Times New Roman"/>
                <w:sz w:val="18"/>
                <w:szCs w:val="18"/>
              </w:rPr>
            </w:pPr>
            <w:r>
              <w:rPr>
                <w:rFonts w:ascii="Times New Roman" w:eastAsia="宋体" w:hAnsi="Times New Roman" w:hint="eastAsia"/>
                <w:sz w:val="18"/>
                <w:szCs w:val="18"/>
              </w:rPr>
              <w:t>教学副院长审核：</w:t>
            </w:r>
          </w:p>
        </w:tc>
        <w:tc>
          <w:tcPr>
            <w:tcW w:w="2292" w:type="dxa"/>
            <w:tcBorders/>
            <w:vAlign w:val="center"/>
          </w:tcPr>
          <w:p>
            <w:pPr>
              <w:pStyle w:val="style0"/>
              <w:spacing w:lineRule="auto" w:line="480"/>
              <w:rPr>
                <w:rFonts w:ascii="Times New Roman" w:eastAsia="宋体" w:hAnsi="Times New Roman"/>
                <w:sz w:val="18"/>
                <w:szCs w:val="18"/>
              </w:rPr>
            </w:pPr>
          </w:p>
        </w:tc>
      </w:tr>
    </w:tbl>
    <w:p>
      <w:pPr>
        <w:pStyle w:val="style0"/>
        <w:rPr>
          <w:rFonts w:ascii="Times New Roman" w:eastAsia="宋体" w:hAnsi="Times New Roman"/>
        </w:rPr>
      </w:pPr>
    </w:p>
    <w:sectPr>
      <w:headerReference w:type="default" r:id="rId2"/>
      <w:footerReference w:type="even" r:id="rId3"/>
      <w:footerReference w:type="default" r:id="rId4"/>
      <w:pgSz w:w="11906" w:h="16838" w:orient="portrait"/>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微软雅黑"/>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altName w:val="楷体"/>
    <w:panose1 w:val="02010609060001010101"/>
    <w:charset w:val="86"/>
    <w:family w:val="modern"/>
    <w:pitch w:val="default"/>
    <w:sig w:usb0="800002BF" w:usb1="38CF7CFA" w:usb2="00000016" w:usb3="00000000" w:csb0="00040001" w:csb1="00000000"/>
  </w:font>
  <w:font w:name="等线">
    <w:altName w:val="等线"/>
    <w:panose1 w:val="02010600030001010101"/>
    <w:charset w:val="86"/>
    <w:family w:val="auto"/>
    <w:pitch w:val="default"/>
    <w:sig w:usb0="A00002BF" w:usb1="38CF7CFA" w:usb2="00000016" w:usb3="00000000" w:csb0="0004000F" w:csb1="00000000"/>
  </w:font>
  <w:font w:name="Cambria Math">
    <w:altName w:val="Cambria Math"/>
    <w:panose1 w:val="02040503050004030204"/>
    <w:charset w:val="00"/>
    <w:family w:val="roman"/>
    <w:pitch w:val="default"/>
    <w:sig w:usb0="E00006FF" w:usb1="420024FF" w:usb2="02000000" w:usb3="00000000" w:csb0="2000019F" w:csb1="00000000"/>
  </w:font>
  <w:font w:name="Segoe UI">
    <w:altName w:val="Segoe UI"/>
    <w:panose1 w:val="020b0502040002020203"/>
    <w:charset w:val="00"/>
    <w:family w:val="swiss"/>
    <w:pitch w:val="default"/>
    <w:sig w:usb0="E4002EFF" w:usb1="C000E47F"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334010" cy="172720"/>
              <wp:effectExtent l="0" t="0" r="0" b="0"/>
              <wp:wrapNone/>
              <wp:docPr id="4097"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72720"/>
                      </a:xfrm>
                      <a:prstGeom prst="rect"/>
                      <a:ln>
                        <a:noFill/>
                      </a:ln>
                    </wps:spPr>
                    <wps:txbx id="4097">
                      <w:txbxContent>
                        <w:p>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26.3pt;height:13.6pt;z-index:2;mso-position-horizontal:outside;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A494342"/>
    <w:lvl w:ilvl="0">
      <w:start w:val="1"/>
      <w:numFmt w:val="decimalEnclosedCircleChinese"/>
      <w:suff w:val="nothing"/>
      <w:lvlText w:val="%1　"/>
      <w:lvlJc w:val="left"/>
      <w:pPr>
        <w:ind w:left="0" w:firstLine="400"/>
      </w:pPr>
      <w:rPr>
        <w:rFonts w:hint="eastAsia"/>
      </w:rPr>
    </w:lvl>
  </w:abstractNum>
  <w:abstractNum w:abstractNumId="1">
    <w:nsid w:val="00000001"/>
    <w:multiLevelType w:val="singleLevel"/>
    <w:tmpl w:val="0DD97BD7"/>
    <w:lvl w:ilvl="0">
      <w:start w:val="1"/>
      <w:numFmt w:val="decimalEnclosedCircleChinese"/>
      <w:suff w:val="nothing"/>
      <w:lvlText w:val="%1　"/>
      <w:lvlJc w:val="left"/>
      <w:pPr>
        <w:ind w:left="0" w:firstLine="400"/>
      </w:pPr>
      <w:rPr>
        <w:rFonts w:hint="eastAsia"/>
      </w:rPr>
    </w:lvl>
  </w:abstractNum>
  <w:abstractNum w:abstractNumId="2">
    <w:nsid w:val="00000002"/>
    <w:multiLevelType w:val="singleLevel"/>
    <w:tmpl w:val="57313837"/>
    <w:lvl w:ilvl="0">
      <w:start w:val="1"/>
      <w:numFmt w:val="chineseCounting"/>
      <w:suff w:val="nothing"/>
      <w:lvlText w:val="（%1）"/>
      <w:lvlJc w:val="left"/>
      <w:pPr/>
    </w:lvl>
  </w:abstractNum>
  <w:abstractNum w:abstractNumId="3">
    <w:nsid w:val="00000003"/>
    <w:multiLevelType w:val="singleLevel"/>
    <w:tmpl w:val="598D3214"/>
    <w:lvl w:ilvl="0">
      <w:start w:val="1"/>
      <w:numFmt w:val="decimal"/>
      <w:suff w:val="nothing"/>
      <w:lvlText w:val="（%1）"/>
      <w:lvlJc w:val="left"/>
      <w:p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2"/>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仿宋_GB2312" w:cs="@仿宋_GB2312" w:eastAsia="@仿宋_GB2312" w:hAnsi="@仿宋_GB2312"/>
      <w:kern w:val="2"/>
      <w:sz w:val="21"/>
      <w:szCs w:val="24"/>
      <w:lang w:val="en-US" w:bidi="ar-SA" w:eastAsia="zh-CN"/>
    </w:rPr>
  </w:style>
  <w:style w:type="paragraph" w:styleId="style2">
    <w:name w:val="heading 2"/>
    <w:basedOn w:val="style0"/>
    <w:next w:val="style0"/>
    <w:qFormat/>
    <w:uiPriority w:val="9"/>
    <w:pPr>
      <w:keepNext/>
      <w:keepLines/>
      <w:spacing w:before="260" w:after="260" w:lineRule="auto" w:line="413"/>
      <w:outlineLvl w:val="1"/>
    </w:pPr>
    <w:rPr>
      <w:b/>
      <w:sz w:val="32"/>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9"/>
    <w:qFormat/>
    <w:uiPriority w:val="99"/>
    <w:pPr>
      <w:jc w:val="left"/>
    </w:pPr>
    <w:rPr/>
  </w:style>
  <w:style w:type="paragraph" w:styleId="style81">
    <w:name w:val="Body Text 3"/>
    <w:basedOn w:val="style0"/>
    <w:next w:val="style81"/>
    <w:qFormat/>
    <w:uiPriority w:val="0"/>
    <w:pPr>
      <w:spacing w:after="120"/>
    </w:pPr>
    <w:rPr>
      <w:sz w:val="16"/>
      <w:szCs w:val="16"/>
    </w:rPr>
  </w:style>
  <w:style w:type="paragraph" w:styleId="style67">
    <w:name w:val="Body Text Indent"/>
    <w:basedOn w:val="style0"/>
    <w:next w:val="style67"/>
    <w:link w:val="style4101"/>
    <w:qFormat/>
    <w:uiPriority w:val="0"/>
    <w:pPr>
      <w:tabs>
        <w:tab w:val="left" w:leader="none" w:pos="525"/>
      </w:tabs>
      <w:spacing w:lineRule="exact" w:line="320"/>
      <w:ind w:firstLine="480" w:firstLineChars="200"/>
    </w:pPr>
    <w:rPr>
      <w:sz w:val="24"/>
    </w:rPr>
  </w:style>
  <w:style w:type="paragraph" w:styleId="style90">
    <w:name w:val="Plain Text"/>
    <w:basedOn w:val="style0"/>
    <w:next w:val="style90"/>
    <w:qFormat/>
    <w:uiPriority w:val="0"/>
    <w:pPr/>
    <w:rPr>
      <w:rFonts w:hint="eastAsia"/>
      <w:szCs w:val="20"/>
    </w:rPr>
  </w:style>
  <w:style w:type="paragraph" w:styleId="style82">
    <w:name w:val="Body Text Indent 2"/>
    <w:basedOn w:val="style0"/>
    <w:next w:val="style82"/>
    <w:link w:val="style4097"/>
    <w:qFormat/>
    <w:uiPriority w:val="0"/>
    <w:pPr>
      <w:tabs>
        <w:tab w:val="left" w:leader="none" w:pos="945"/>
      </w:tabs>
      <w:spacing w:lineRule="exact" w:line="360"/>
      <w:ind w:firstLine="538" w:firstLineChars="224"/>
    </w:pPr>
    <w:rPr>
      <w:sz w:val="24"/>
    </w:rPr>
  </w:style>
  <w:style w:type="paragraph" w:styleId="style153">
    <w:name w:val="Balloon Text"/>
    <w:basedOn w:val="style0"/>
    <w:next w:val="style153"/>
    <w:qFormat/>
    <w:uiPriority w:val="0"/>
    <w:pPr/>
    <w:rPr>
      <w:sz w:val="18"/>
      <w:szCs w:val="18"/>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widowControl/>
      <w:spacing w:before="100" w:beforeAutospacing="true" w:after="100" w:afterAutospacing="true"/>
      <w:jc w:val="left"/>
    </w:pPr>
    <w:rPr>
      <w:kern w:val="0"/>
      <w:sz w:val="24"/>
    </w:rPr>
  </w:style>
  <w:style w:type="paragraph" w:styleId="style106">
    <w:name w:val="annotation subject"/>
    <w:basedOn w:val="style30"/>
    <w:next w:val="style30"/>
    <w:link w:val="style4100"/>
    <w:qFormat/>
    <w:uiPriority w:val="99"/>
    <w:pPr/>
    <w:rPr>
      <w:b/>
      <w:bCs/>
    </w:rPr>
  </w:style>
  <w:style w:type="table" w:styleId="style154">
    <w:name w:val="Table Grid"/>
    <w:basedOn w:val="style105"/>
    <w:next w:val="style154"/>
    <w:qFormat/>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1"/>
    <w:qFormat/>
    <w:uiPriority w:val="0"/>
  </w:style>
  <w:style w:type="character" w:styleId="style39">
    <w:name w:val="annotation reference"/>
    <w:next w:val="style39"/>
    <w:qFormat/>
    <w:uiPriority w:val="99"/>
    <w:rPr>
      <w:sz w:val="21"/>
      <w:szCs w:val="21"/>
    </w:rPr>
  </w:style>
  <w:style w:type="character" w:customStyle="1" w:styleId="style4097">
    <w:name w:val="正文文本缩进 2 字符"/>
    <w:next w:val="style4097"/>
    <w:link w:val="style82"/>
    <w:qFormat/>
    <w:uiPriority w:val="0"/>
    <w:rPr>
      <w:rFonts w:ascii="@仿宋_GB2312" w:eastAsia="@仿宋_GB2312"/>
      <w:kern w:val="2"/>
      <w:sz w:val="24"/>
      <w:szCs w:val="24"/>
      <w:lang w:val="en-US" w:bidi="ar-SA" w:eastAsia="zh-CN"/>
    </w:rPr>
  </w:style>
  <w:style w:type="character" w:customStyle="1" w:styleId="style4098">
    <w:name w:val="页眉 字符"/>
    <w:next w:val="style4098"/>
    <w:link w:val="style31"/>
    <w:qFormat/>
    <w:uiPriority w:val="0"/>
    <w:rPr>
      <w:rFonts w:eastAsia="@仿宋_GB2312"/>
      <w:kern w:val="2"/>
      <w:sz w:val="18"/>
      <w:szCs w:val="18"/>
      <w:lang w:val="en-US" w:bidi="ar-SA" w:eastAsia="zh-CN"/>
    </w:rPr>
  </w:style>
  <w:style w:type="character" w:customStyle="1" w:styleId="style4099">
    <w:name w:val="批注文字 字符"/>
    <w:next w:val="style4099"/>
    <w:link w:val="style30"/>
    <w:qFormat/>
    <w:uiPriority w:val="99"/>
    <w:rPr>
      <w:kern w:val="2"/>
      <w:sz w:val="21"/>
      <w:szCs w:val="24"/>
    </w:rPr>
  </w:style>
  <w:style w:type="character" w:customStyle="1" w:styleId="style4100">
    <w:name w:val="批注主题 字符"/>
    <w:next w:val="style4100"/>
    <w:link w:val="style106"/>
    <w:qFormat/>
    <w:uiPriority w:val="99"/>
    <w:rPr>
      <w:b/>
      <w:bCs/>
      <w:kern w:val="2"/>
      <w:sz w:val="21"/>
      <w:szCs w:val="24"/>
    </w:rPr>
  </w:style>
  <w:style w:type="character" w:customStyle="1" w:styleId="style4101">
    <w:name w:val="正文文本缩进 字符"/>
    <w:next w:val="style4101"/>
    <w:link w:val="style67"/>
    <w:qFormat/>
    <w:uiPriority w:val="0"/>
    <w:rPr>
      <w:rFonts w:ascii="@仿宋_GB2312" w:eastAsia="@仿宋_GB2312"/>
      <w:kern w:val="2"/>
      <w:sz w:val="24"/>
      <w:szCs w:val="24"/>
      <w:lang w:val="en-US" w:bidi="ar-SA" w:eastAsia="zh-CN"/>
    </w:rPr>
  </w:style>
  <w:style w:type="paragraph" w:customStyle="1" w:styleId="style4102">
    <w:name w:val="100"/>
    <w:basedOn w:val="style0"/>
    <w:next w:val="style4102"/>
    <w:qFormat/>
    <w:uiPriority w:val="0"/>
    <w:pPr>
      <w:ind w:left="312" w:firstLine="200" w:firstLineChars="200"/>
      <w:outlineLvl w:val="0"/>
    </w:pPr>
    <w:rPr>
      <w:sz w:val="28"/>
    </w:rPr>
  </w:style>
  <w:style w:type="paragraph" w:customStyle="1" w:styleId="style4103">
    <w:name w:val="列出段落1"/>
    <w:basedOn w:val="style0"/>
    <w:next w:val="style4103"/>
    <w:qFormat/>
    <w:uiPriority w:val="34"/>
    <w:pPr>
      <w:ind w:firstLine="420" w:firstLineChars="200"/>
    </w:pPr>
    <w:rPr/>
  </w:style>
  <w:style w:type="paragraph" w:customStyle="1" w:styleId="style4104">
    <w:name w:val="xl51"/>
    <w:basedOn w:val="style0"/>
    <w:next w:val="style4104"/>
    <w:qFormat/>
    <w:uiPriority w:val="0"/>
    <w:pPr>
      <w:widowControl/>
      <w:pBdr>
        <w:left w:val="single" w:sz="4" w:space="0" w:color="auto"/>
        <w:right w:val="single" w:sz="4" w:space="0" w:color="auto"/>
      </w:pBdr>
      <w:spacing w:before="100" w:beforeAutospacing="true" w:after="100" w:afterAutospacing="true"/>
      <w:jc w:val="center"/>
      <w:textAlignment w:val="top"/>
    </w:pPr>
    <w:rPr>
      <w:kern w:val="0"/>
      <w:szCs w:val="21"/>
    </w:rPr>
  </w:style>
  <w:style w:type="paragraph" w:styleId="style179">
    <w:name w:val="List Paragraph"/>
    <w:basedOn w:val="style0"/>
    <w:next w:val="style179"/>
    <w:qFormat/>
    <w:uiPriority w:val="99"/>
    <w:pPr>
      <w:ind w:firstLine="420" w:firstLineChars="200"/>
    </w:pPr>
    <w:rPr/>
  </w:style>
  <w:style w:type="character" w:customStyle="1" w:styleId="style4105">
    <w:name w:val="font21"/>
    <w:basedOn w:val="style65"/>
    <w:next w:val="style4105"/>
    <w:qFormat/>
    <w:uiPriority w:val="0"/>
    <w:rPr>
      <w:rFonts w:ascii="宋体" w:cs="宋体" w:eastAsia="宋体" w:hAnsi="宋体" w:hint="eastAsia"/>
      <w:color w:val="000000"/>
      <w:sz w:val="18"/>
      <w:szCs w:val="18"/>
      <w:u w:val="none"/>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29522</Words>
  <Pages>33</Pages>
  <Characters>32283</Characters>
  <Application>WPS Office</Application>
  <DocSecurity>0</DocSecurity>
  <Paragraphs>2206</Paragraphs>
  <ScaleCrop>false</ScaleCrop>
  <Company>Microsoft</Company>
  <LinksUpToDate>false</LinksUpToDate>
  <CharactersWithSpaces>32462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2020-06-01T00:39:00Z</dcterms:created>
  <dc:creator>微软用户</dc:creator>
  <lastModifiedBy>DBR-W10</lastModifiedBy>
  <lastPrinted>2021-06-21T02:30:00Z</lastPrinted>
  <dcterms:modified xsi:type="dcterms:W3CDTF">2024-08-20T03:10:38Z</dcterms:modified>
  <revision>182</revision>
  <dc:title>江西工业贸易职业技术学院2011级</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59af4341e91f411a913e83050acb2cd4_23</vt:lpwstr>
  </property>
</Properties>
</file>